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1EBF" w14:textId="77777777" w:rsidR="008E337C" w:rsidRDefault="008E337C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СОЮЗНОГО ГОСУДАРСТВА</w:t>
      </w:r>
    </w:p>
    <w:p w14:paraId="00904A40" w14:textId="77777777" w:rsidR="008E337C" w:rsidRDefault="008E337C">
      <w:pPr>
        <w:pStyle w:val="newncpi"/>
        <w:ind w:firstLine="0"/>
        <w:jc w:val="center"/>
      </w:pPr>
      <w:r>
        <w:rPr>
          <w:rStyle w:val="datepr"/>
        </w:rPr>
        <w:t>16 июня 2017 г.</w:t>
      </w:r>
      <w:r>
        <w:rPr>
          <w:rStyle w:val="number"/>
        </w:rPr>
        <w:t xml:space="preserve"> № 19</w:t>
      </w:r>
    </w:p>
    <w:p w14:paraId="3A7D29F4" w14:textId="77777777" w:rsidR="008E337C" w:rsidRDefault="008E337C">
      <w:pPr>
        <w:pStyle w:val="placeprin"/>
      </w:pPr>
      <w:r>
        <w:t>г. Санкт-Петербург</w:t>
      </w:r>
    </w:p>
    <w:p w14:paraId="6EBF5207" w14:textId="77777777" w:rsidR="008E337C" w:rsidRDefault="008E337C">
      <w:pPr>
        <w:pStyle w:val="titlencpi"/>
      </w:pPr>
      <w:r>
        <w:t>Об основных направлениях формирования единого научно-технологического пространства Союзного государства</w:t>
      </w:r>
    </w:p>
    <w:p w14:paraId="3CBABA6C" w14:textId="77777777" w:rsidR="008E337C" w:rsidRDefault="008E337C">
      <w:pPr>
        <w:pStyle w:val="newncpiv"/>
      </w:pPr>
      <w:r>
        <w:t>Вступило в силу 16 июня 2017 года</w:t>
      </w:r>
    </w:p>
    <w:p w14:paraId="628EA004" w14:textId="77777777" w:rsidR="008E337C" w:rsidRDefault="008E337C">
      <w:pPr>
        <w:pStyle w:val="newncpiv"/>
      </w:pPr>
      <w:r>
        <w:t> </w:t>
      </w:r>
    </w:p>
    <w:p w14:paraId="149DB10B" w14:textId="77777777" w:rsidR="008E337C" w:rsidRDefault="008E337C">
      <w:pPr>
        <w:pStyle w:val="changei"/>
      </w:pPr>
      <w:r>
        <w:t>Изменения и дополнения:</w:t>
      </w:r>
    </w:p>
    <w:p w14:paraId="009DA294" w14:textId="77777777" w:rsidR="008E337C" w:rsidRDefault="008E337C">
      <w:pPr>
        <w:pStyle w:val="changeadd"/>
      </w:pPr>
      <w:r>
        <w:t>Постановление Совета Министров Союзного государства от 13 декабря 2018 г. № 32 &lt;A21800062&gt;;</w:t>
      </w:r>
    </w:p>
    <w:p w14:paraId="3A72C85B" w14:textId="77777777" w:rsidR="008E337C" w:rsidRDefault="008E337C">
      <w:pPr>
        <w:pStyle w:val="changeadd"/>
      </w:pPr>
      <w:r>
        <w:t>Постановление Совета Министров Союзного государства от 28 октября 2021 г. № 24 &lt;A22100037&gt;;</w:t>
      </w:r>
    </w:p>
    <w:p w14:paraId="607D1490" w14:textId="77777777" w:rsidR="008E337C" w:rsidRDefault="008E337C">
      <w:pPr>
        <w:pStyle w:val="changeadd"/>
      </w:pPr>
      <w:r>
        <w:t>Постановление Совета Министров Союзного государства от 6 июля 2022 г. № 7 &lt;A22200026&gt;;</w:t>
      </w:r>
    </w:p>
    <w:p w14:paraId="398AC4E2" w14:textId="77777777" w:rsidR="008E337C" w:rsidRDefault="008E337C">
      <w:pPr>
        <w:pStyle w:val="changeadd"/>
      </w:pPr>
      <w:r>
        <w:t>Постановление Совета Министров Союзного государства от 17 мая 2023 г. № 15 &lt;A22300047&gt;;</w:t>
      </w:r>
    </w:p>
    <w:p w14:paraId="1BAFF383" w14:textId="77777777" w:rsidR="008E337C" w:rsidRDefault="008E337C">
      <w:pPr>
        <w:pStyle w:val="changeadd"/>
      </w:pPr>
      <w:r>
        <w:t>Постановление Совета Министров Союзного государства от 2 февраля 2026 г. № 9 &lt;A22600011&gt;</w:t>
      </w:r>
    </w:p>
    <w:p w14:paraId="481DA129" w14:textId="77777777" w:rsidR="008E337C" w:rsidRDefault="008E337C">
      <w:pPr>
        <w:pStyle w:val="newncpi"/>
      </w:pPr>
      <w:r>
        <w:t> </w:t>
      </w:r>
    </w:p>
    <w:p w14:paraId="33BC810E" w14:textId="77777777" w:rsidR="008E337C" w:rsidRDefault="008E337C">
      <w:pPr>
        <w:pStyle w:val="preamble"/>
      </w:pPr>
      <w:r>
        <w:t>Совет Министров Союзного государства ПОСТАНОВЛЯЕТ:</w:t>
      </w:r>
    </w:p>
    <w:p w14:paraId="61AFC3C9" w14:textId="77777777" w:rsidR="008E337C" w:rsidRDefault="008E337C">
      <w:pPr>
        <w:pStyle w:val="point"/>
      </w:pPr>
      <w:r>
        <w:t>1. Принять к сведению информацию Министерства образования и науки Российской Федерации и Государственного комитета по науке и технологиям Республики Беларусь о ходе формирования и функционирования единого научно-технологического пространства Союзного государства и Примерном перечне приоритетных научно-технологических и инновационных программ и проектов Союзного государства для их дальнейшей разработки, утверждения и реализации (прилагается).</w:t>
      </w:r>
    </w:p>
    <w:p w14:paraId="2EF6DDB9" w14:textId="77777777" w:rsidR="008E337C" w:rsidRDefault="008E337C">
      <w:pPr>
        <w:pStyle w:val="point"/>
      </w:pPr>
      <w:r>
        <w:t>2. Одобрить Основные направления формирования и функционирования единого научно-технологического пространства Союзного государства (далее – Основные направления), представленные Министерством образования и науки Российской Федерации и Государственным комитетом по науке и технологиям Республики Беларусь (прилагаются).</w:t>
      </w:r>
    </w:p>
    <w:p w14:paraId="4FA4C4AB" w14:textId="77777777" w:rsidR="008E337C" w:rsidRDefault="008E337C">
      <w:pPr>
        <w:pStyle w:val="point"/>
      </w:pPr>
      <w:r>
        <w:t>3. В целях реализации Основных направлений создать Комиссию по формированию единого научно-технологического пространства Союзного государства (далее – Научно-техническая комиссия).</w:t>
      </w:r>
    </w:p>
    <w:p w14:paraId="7F19B261" w14:textId="77777777" w:rsidR="008E337C" w:rsidRDefault="008E337C">
      <w:pPr>
        <w:pStyle w:val="point"/>
      </w:pPr>
      <w:r>
        <w:t>4. Утвердить Положение о Научно-технической комиссии и ее состав (прилагаются).</w:t>
      </w:r>
    </w:p>
    <w:p w14:paraId="17DD2069" w14:textId="77777777" w:rsidR="008E337C" w:rsidRDefault="008E337C">
      <w:pPr>
        <w:pStyle w:val="newncpi"/>
      </w:pPr>
      <w:r>
        <w:t>Министерству образования и науки Российской Федерации и Государственному комитету по науке и технологиям Республики Беларусь обеспечить проведение заседаний Научно-технической комиссии не реже двух раз в год.</w:t>
      </w:r>
    </w:p>
    <w:p w14:paraId="193128A6" w14:textId="77777777" w:rsidR="008E337C" w:rsidRDefault="008E337C">
      <w:pPr>
        <w:pStyle w:val="point"/>
      </w:pPr>
      <w:r>
        <w:t>5. Министерству образования и науки Российской Федерации и Государственному комитету по науке и технологиям Республики Беларусь, заинтересованным федеральным органам исполнительной власти, государственным корпорациям Российской Федерации и республиканским органам государственного управления Республики Беларусь руководствоваться Основными направлениями, одобренными пунктом 2 настоящего постановления, в работе по обеспечению полномасштабного функционирования единого научно-технологического пространства Союзного государства.</w:t>
      </w:r>
    </w:p>
    <w:p w14:paraId="0DF12D3E" w14:textId="77777777" w:rsidR="008E337C" w:rsidRDefault="008E337C">
      <w:pPr>
        <w:pStyle w:val="point"/>
      </w:pPr>
      <w:r>
        <w:t>6. Признать утратившим силу постановление Совета Министров Союзного государства от 4 апреля 2006 г. № 9 «Об Основных направлениях формирования единого научно-технологического пространства Союзного государства».</w:t>
      </w:r>
    </w:p>
    <w:p w14:paraId="78615B31" w14:textId="77777777" w:rsidR="008E337C" w:rsidRDefault="008E337C">
      <w:pPr>
        <w:pStyle w:val="point"/>
      </w:pPr>
      <w:r>
        <w:t>7. Настоящее постановление вступает в силу со дня его подписания.</w:t>
      </w:r>
    </w:p>
    <w:p w14:paraId="49F4656E" w14:textId="77777777" w:rsidR="008E337C" w:rsidRDefault="008E337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E337C" w14:paraId="41894625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405E7" w14:textId="77777777" w:rsidR="008E337C" w:rsidRDefault="008E337C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Председатель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Совета Министров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Союзного государства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C339B3" w14:textId="77777777" w:rsidR="008E337C" w:rsidRDefault="008E337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Д.Медведев</w:t>
            </w:r>
            <w:proofErr w:type="spellEnd"/>
          </w:p>
        </w:tc>
      </w:tr>
    </w:tbl>
    <w:p w14:paraId="4A54C32C" w14:textId="77777777" w:rsidR="008E337C" w:rsidRDefault="008E337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8E337C" w14:paraId="2C81E426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03EA2" w14:textId="77777777" w:rsidR="008E337C" w:rsidRDefault="008E337C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FA9EA" w14:textId="77777777" w:rsidR="008E337C" w:rsidRDefault="008E337C">
            <w:pPr>
              <w:pStyle w:val="append1"/>
            </w:pPr>
            <w:r>
              <w:t>Приложение</w:t>
            </w:r>
          </w:p>
          <w:p w14:paraId="4E264069" w14:textId="77777777" w:rsidR="008E337C" w:rsidRDefault="008E337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Союзного государства </w:t>
            </w:r>
            <w:r>
              <w:br/>
              <w:t>от 16 июня 2017 г. № 19</w:t>
            </w:r>
          </w:p>
        </w:tc>
      </w:tr>
    </w:tbl>
    <w:p w14:paraId="0E1A3DC8" w14:textId="77777777" w:rsidR="008E337C" w:rsidRDefault="008E337C">
      <w:pPr>
        <w:pStyle w:val="titlep"/>
      </w:pPr>
      <w:r>
        <w:t>ИНФОРМАЦИЯ</w:t>
      </w:r>
      <w:r>
        <w:br/>
        <w:t>о ходе формирования и функционирования единого научно-технологического пространства Союзного государства и Примерном перечне приоритетных научно-технологических и инновационных программ и проектов Союзного государства для их дальнейшей разработки, утверждения и реализации</w:t>
      </w:r>
    </w:p>
    <w:p w14:paraId="1FC0C912" w14:textId="77777777" w:rsidR="008E337C" w:rsidRDefault="008E337C">
      <w:pPr>
        <w:pStyle w:val="newncpi"/>
      </w:pPr>
      <w:r>
        <w:t>Формирование общего научного, технологического и информационного пространства относится к совместному ведению Союзного государства и государств – участников Договора о создании Союзного государства от 8 декабря 1999 года (далее – государства-участники) и является одной из стратегических задач. </w:t>
      </w:r>
    </w:p>
    <w:p w14:paraId="41EE7FD8" w14:textId="77777777" w:rsidR="008E337C" w:rsidRDefault="008E337C">
      <w:pPr>
        <w:pStyle w:val="newncpi"/>
      </w:pPr>
      <w:r>
        <w:t>Работа в этом направлении организуется и ведется в соответствии с решениями Совета Министров Союзного государства, Группы высокого уровня Совета Министров Союзного государства, а также решениями совместных заседаний коллегий Государственного комитета по науке и технологиям Республики Беларусь и Министерства образования и науки Российской Федерации.</w:t>
      </w:r>
    </w:p>
    <w:p w14:paraId="75AB662B" w14:textId="77777777" w:rsidR="008E337C" w:rsidRDefault="008E337C">
      <w:pPr>
        <w:pStyle w:val="newncpi"/>
      </w:pPr>
      <w:r>
        <w:t>Общая координация осуществляется Российско-Белорусской комиссией по научно-техническому сотрудничеству (далее – Комиссия по НТС), созданной в соответствии с Соглашением между Правительством Российской Федерации и Правительством Республики Беларусь о научно-техническом сотрудничестве от 27 февраля 1996 года.</w:t>
      </w:r>
    </w:p>
    <w:p w14:paraId="4B7B849E" w14:textId="77777777" w:rsidR="008E337C" w:rsidRDefault="008E337C">
      <w:pPr>
        <w:pStyle w:val="newncpi"/>
      </w:pPr>
      <w:r>
        <w:t>В 2006 году Советом Министров Союзного государства были утверждены Основные направления формирования единого научно-технологического пространства Союзного государства (далее – Основные направления), в которых определены задачи последовательного создания действенных организационных, правовых, информационных и финансовых механизмов, а также приоритетные направления наращивания российско-белорусского интеграционного взаимодействия в конкретных областях науки, технологий и техники.</w:t>
      </w:r>
    </w:p>
    <w:p w14:paraId="5C9B8B1F" w14:textId="77777777" w:rsidR="008E337C" w:rsidRDefault="008E337C">
      <w:pPr>
        <w:pStyle w:val="newncpi"/>
      </w:pPr>
      <w:r>
        <w:t>Для реализации Основных направлений Министерством образования и науки Российской Федерации и Государственным комитетом по науке и технологиям Республики Беларусь на начальном этапе реализованы мероприятия, обеспечившие создание основ формирования единого научно-технологического пространства Союзного государства.</w:t>
      </w:r>
    </w:p>
    <w:p w14:paraId="5635096A" w14:textId="77777777" w:rsidR="008E337C" w:rsidRDefault="008E337C">
      <w:pPr>
        <w:pStyle w:val="newncpi"/>
      </w:pPr>
      <w:r>
        <w:t>Уровень российско-белорусского взаимодействия в научно-технологической сфере продолжительное время ограничивался сферами компетенции Министерства образования и науки Российской Федерации, Государственного комитета по науке и технологиям Республики Беларусь, а также Национальной академии наук Беларуси и Федерального агентства научных организаций и в целом сведен к информационному (документальному) межведомственному обмену.</w:t>
      </w:r>
    </w:p>
    <w:p w14:paraId="4BB70997" w14:textId="77777777" w:rsidR="008E337C" w:rsidRDefault="008E337C">
      <w:pPr>
        <w:pStyle w:val="newncpi"/>
      </w:pPr>
      <w:r>
        <w:t xml:space="preserve">В целях активизации работы по научно-технологическому сотрудничеству Советом Министров Союзного государства (резолюция от 21 октября 2014 г. № 4 «О ходе работы по реализации Основных направлений формирования единого научно-технологического пространства Союзного государства и Перечне приоритетных научно-технологических и инновационных программ и проектов Союзного государства») поручено Минобрнауки </w:t>
      </w:r>
      <w:r>
        <w:lastRenderedPageBreak/>
        <w:t>России и ГКНТ Беларуси подготовить и представить в установленном порядке в Совет Министров Союзного государства на утверждение предложения, касающиеся:</w:t>
      </w:r>
    </w:p>
    <w:p w14:paraId="47F7B6C7" w14:textId="77777777" w:rsidR="008E337C" w:rsidRDefault="008E337C">
      <w:pPr>
        <w:pStyle w:val="newncpi"/>
      </w:pPr>
      <w:r>
        <w:t>внесения соответствующих изменений в Основные направления;</w:t>
      </w:r>
    </w:p>
    <w:p w14:paraId="052BD0BB" w14:textId="77777777" w:rsidR="008E337C" w:rsidRDefault="008E337C">
      <w:pPr>
        <w:pStyle w:val="newncpi"/>
      </w:pPr>
      <w:r>
        <w:t>расширения состава Комиссии по НТС;</w:t>
      </w:r>
    </w:p>
    <w:p w14:paraId="7CF340A4" w14:textId="77777777" w:rsidR="008E337C" w:rsidRDefault="008E337C">
      <w:pPr>
        <w:pStyle w:val="newncpi"/>
      </w:pPr>
      <w:r>
        <w:t>Положения о Комиссии по формированию единого научно-технологического пространства Союзного государства.</w:t>
      </w:r>
    </w:p>
    <w:p w14:paraId="1B03C1F3" w14:textId="77777777" w:rsidR="008E337C" w:rsidRDefault="008E337C">
      <w:pPr>
        <w:pStyle w:val="newncpi"/>
      </w:pPr>
      <w:r>
        <w:t>В 2015–2016 годах Минобрнауки России совместно с ГКНТ Беларуси проведены седьмое и восьмое заседания Комиссии по НТС, по результатам которых подготовлены следующие документы:</w:t>
      </w:r>
    </w:p>
    <w:p w14:paraId="7A34502E" w14:textId="77777777" w:rsidR="008E337C" w:rsidRDefault="008E337C">
      <w:pPr>
        <w:pStyle w:val="newncpi"/>
      </w:pPr>
      <w:r>
        <w:t>проект Основных направлений;</w:t>
      </w:r>
    </w:p>
    <w:p w14:paraId="43F4EACC" w14:textId="77777777" w:rsidR="008E337C" w:rsidRDefault="008E337C">
      <w:pPr>
        <w:pStyle w:val="newncpi"/>
      </w:pPr>
      <w:r>
        <w:t>проект Примерного перечня приоритетных научно-технологических и инновационных программ и проектов Союзного государства для их дальнейшей разработки, утверждения и реализации;</w:t>
      </w:r>
    </w:p>
    <w:p w14:paraId="25E07824" w14:textId="77777777" w:rsidR="008E337C" w:rsidRDefault="008E337C">
      <w:pPr>
        <w:pStyle w:val="newncpi"/>
      </w:pPr>
      <w:r>
        <w:t>проект Положения о Комиссии по НТС;</w:t>
      </w:r>
    </w:p>
    <w:p w14:paraId="2F6DC35D" w14:textId="77777777" w:rsidR="008E337C" w:rsidRDefault="008E337C">
      <w:pPr>
        <w:pStyle w:val="newncpi"/>
      </w:pPr>
      <w:r>
        <w:t>проект состава Комиссии по НТС.</w:t>
      </w:r>
    </w:p>
    <w:p w14:paraId="20EC88CD" w14:textId="77777777" w:rsidR="008E337C" w:rsidRDefault="008E337C">
      <w:pPr>
        <w:pStyle w:val="newncpi"/>
      </w:pPr>
      <w:r>
        <w:t>На восьмом заседании Комиссии по НТС принято решение о создании Комиссии по формированию единого научно-технологического пространства Союзного государства (далее – Научно-техническая комиссия) – межведомственного органа по координации научно-технического взаимодействия государств-участников, направленного на развитие научно-технического сотрудничества и обеспечение эффективного функционирования единого научно-технологического пространства Союзного государства.</w:t>
      </w:r>
    </w:p>
    <w:p w14:paraId="2D48D4ED" w14:textId="77777777" w:rsidR="008E337C" w:rsidRDefault="008E337C">
      <w:pPr>
        <w:pStyle w:val="newncpi"/>
      </w:pPr>
      <w:r>
        <w:t>Основными направлениями деятельности Научно-технической комиссии будут: координация совместных научных и инновационных исследований и разработок; консультации по вопросам научно-технической политики государств-участников; формирование приоритетных направлений научно-технологического и инновационного сотрудничества в рамках Союзного государства.</w:t>
      </w:r>
    </w:p>
    <w:p w14:paraId="5E1D4144" w14:textId="77777777" w:rsidR="008E337C" w:rsidRDefault="008E337C">
      <w:pPr>
        <w:pStyle w:val="newncpi"/>
      </w:pPr>
      <w:r>
        <w:t>В течение 2016–2020 годов будет выстроена гибкая и эффективная система определения приоритетных направлений взаимодействия национальных научно-технологических комплексов, способная оперативно учитывать их актуальные потребности и соответствующая интересам развития национальных экономик и социальной сферы государств-участников.</w:t>
      </w:r>
    </w:p>
    <w:p w14:paraId="235DBE3F" w14:textId="77777777" w:rsidR="008E337C" w:rsidRDefault="008E337C">
      <w:pPr>
        <w:pStyle w:val="newncpi"/>
      </w:pPr>
      <w:r>
        <w:t>Вопрос о ходе работы по реализации Основных направлений формирования единого научно-технологического пространства Союзного государства рассмотрен на заседании Группы высокого уровня Совета Министров Союзного государства 28 октября 2016 г. Минобрнауки России и ГКНТ Беларуси поручено внести на рассмотрение очередного заседания Совета Министров Союзного государства согласованные материалы о ходе работы по реализации Основных направлений формирования единого научно-технологического пространства Союзного государства и Примерном перечне приоритетных научно-технологических и инновационных программ и проектов Союзного государства для их дальнейшей разработки, утверждения и реализации.</w:t>
      </w:r>
    </w:p>
    <w:p w14:paraId="5E5849FB" w14:textId="77777777" w:rsidR="008E337C" w:rsidRDefault="008E337C">
      <w:pPr>
        <w:pStyle w:val="newncpi"/>
      </w:pPr>
      <w:r>
        <w:t>В марте 2017 г. ход подготовки материалов заслушан на заседании Комиссии Парламентского Собрания Союза Беларуси и России по экономической политике.</w:t>
      </w:r>
    </w:p>
    <w:p w14:paraId="7C1B0CE1" w14:textId="77777777" w:rsidR="008E337C" w:rsidRDefault="008E337C">
      <w:pPr>
        <w:pStyle w:val="newncpi"/>
      </w:pPr>
      <w:r>
        <w:t>Реализация постановления Совета Министров Союзного государства «О ходе работы по реализации Основных направлений формирования единого научно-технологического пространства Союзного государства» не потребует дополнительных ассигнований из средств национальных бюджетов государств-участников.</w:t>
      </w:r>
    </w:p>
    <w:p w14:paraId="34CA06C1" w14:textId="77777777" w:rsidR="008E337C" w:rsidRDefault="008E337C">
      <w:pPr>
        <w:pStyle w:val="newncpi"/>
      </w:pPr>
      <w:r>
        <w:t>Проекты решений и материалы к ним согласованы:</w:t>
      </w:r>
    </w:p>
    <w:p w14:paraId="4571ED0F" w14:textId="77777777" w:rsidR="008E337C" w:rsidRDefault="008E337C">
      <w:pPr>
        <w:pStyle w:val="newncpi"/>
      </w:pPr>
      <w:r>
        <w:t>в Российской Федерации – Минздравом, Минэкономразвития, Минфином, Минпромторгом, Минсельхозом, ФАНО и РАН;</w:t>
      </w:r>
    </w:p>
    <w:p w14:paraId="3EA03536" w14:textId="77777777" w:rsidR="008E337C" w:rsidRDefault="008E337C">
      <w:pPr>
        <w:pStyle w:val="newncpi"/>
      </w:pPr>
      <w:r>
        <w:t xml:space="preserve">в Республике Беларусь – Минобразования, Минздравом, Минсельхозпродом, Минэкономики, Минпромом, Минприроды, Минфином, НАН, </w:t>
      </w:r>
      <w:proofErr w:type="spellStart"/>
      <w:r>
        <w:t>Госкомвоенпромом</w:t>
      </w:r>
      <w:proofErr w:type="spellEnd"/>
      <w:r>
        <w:t xml:space="preserve"> и концерном «Белнефтехим».</w:t>
      </w:r>
    </w:p>
    <w:p w14:paraId="23262D83" w14:textId="77777777" w:rsidR="008E337C" w:rsidRDefault="008E337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8E337C" w14:paraId="4AEF577F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CCCB7" w14:textId="77777777" w:rsidR="008E337C" w:rsidRDefault="008E337C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63EF5" w14:textId="77777777" w:rsidR="008E337C" w:rsidRDefault="008E337C">
            <w:pPr>
              <w:pStyle w:val="capu1"/>
            </w:pPr>
            <w:r>
              <w:t>ОДОБРЕНЫ</w:t>
            </w:r>
          </w:p>
          <w:p w14:paraId="1619F281" w14:textId="77777777" w:rsidR="008E337C" w:rsidRDefault="008E337C">
            <w:pPr>
              <w:pStyle w:val="cap1"/>
            </w:pPr>
            <w:r>
              <w:t xml:space="preserve">постановлением </w:t>
            </w:r>
            <w:r>
              <w:br/>
              <w:t>Совета Министров</w:t>
            </w:r>
            <w:r>
              <w:br/>
              <w:t>Союзного государства</w:t>
            </w:r>
          </w:p>
          <w:p w14:paraId="7C790CDC" w14:textId="77777777" w:rsidR="008E337C" w:rsidRDefault="008E337C">
            <w:pPr>
              <w:pStyle w:val="cap1"/>
            </w:pPr>
            <w:r>
              <w:t>от 16 июня 2017 г. № 19</w:t>
            </w:r>
          </w:p>
        </w:tc>
      </w:tr>
    </w:tbl>
    <w:p w14:paraId="5AFC7B7A" w14:textId="77777777" w:rsidR="008E337C" w:rsidRDefault="008E337C">
      <w:pPr>
        <w:pStyle w:val="titleu"/>
        <w:jc w:val="center"/>
      </w:pPr>
      <w:r>
        <w:t>Основные направления формирования и функционирования единого научно-технологического пространства Союзного государства</w:t>
      </w:r>
    </w:p>
    <w:p w14:paraId="2319D715" w14:textId="77777777" w:rsidR="008E337C" w:rsidRDefault="008E337C">
      <w:pPr>
        <w:pStyle w:val="newncpi"/>
      </w:pPr>
      <w:r>
        <w:t>Основные направления формирования и функционирования единого научно-технологического пространства Союзного государства (далее – Основные направления) направлены на формирование системных подходов и механизмов оказания содействия реализации положений основополагающих документов России и Беларуси в сфере государственной научно-технической политики и, прежде всего, Основ политики Российской Федерации в области развития науки и технологий на период до 2010 года и дальнейшую перспективу, отраженных в письме Президента Российской Федерации от 30 марта 2002 г. № Пр-576; Стратегии инновационного развития Российской Федерации на период до 2020 года, утвержденной распоряжением Правительства Российской Федерации от 8 декабря 2011 г. № 2227-р; Указа Президента Российской Федерации от 7 июля 2011 г. № 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 (в редакции Указа Президента Российской Федерации от 16 декабря 2015 г. № 623); Основных направлений деятельности Правительства Российской Федерации на период до 2018 года, утвержденных Правительством Российской Федерации 14 мая 2015 г.; Декрета Президента Республики Беларусь от 5 марта 2002 г. № 7 «О совершенствовании государственного управления в сфере науки, государственных научных и научно-технических программ Беларуси»; Указа Президента Республики Беларусь от 22 апреля 2015 г. № 166 «О приоритетных направлениях научно-технической деятельности в Республике Беларусь на 2016–2020 годы», а также соответствующих решений Совета Министров Союзного государства.</w:t>
      </w:r>
    </w:p>
    <w:p w14:paraId="315CF95A" w14:textId="77777777" w:rsidR="008E337C" w:rsidRDefault="008E337C">
      <w:pPr>
        <w:pStyle w:val="newncpi"/>
      </w:pPr>
      <w:r>
        <w:t>Основные направления подготовлены во исполнение Программы действий Российской Федерации и Республики Беларусь по реализации положений Договора о создании Союзного государства от 8 декабря 1999 г. и решений Совета Министров Союзного государства.</w:t>
      </w:r>
    </w:p>
    <w:p w14:paraId="56D6B86D" w14:textId="77777777" w:rsidR="008E337C" w:rsidRDefault="008E337C">
      <w:pPr>
        <w:pStyle w:val="newncpi"/>
      </w:pPr>
      <w:r>
        <w:t>Формирование единого научно-технологического пространства предполагает объединение и развитие научно-технических потенциалов России и Беларуси, включая национальные инновационные системы, в интересах ускоренного использования достижений науки и технологий в инновационной деятельности и последовательного роста на этой основе конкурентоспособности экономик государств – участников Договора о создании Союзного государства от 8 декабря 1999 г. (далее – государства-участники).</w:t>
      </w:r>
    </w:p>
    <w:p w14:paraId="066E196C" w14:textId="77777777" w:rsidR="008E337C" w:rsidRDefault="008E337C">
      <w:pPr>
        <w:pStyle w:val="newncpi"/>
      </w:pPr>
      <w:r>
        <w:t>Основные направления сформированы на базе совпадающих по своему содержанию и направленности государственных приоритетов научно-технического развития России и Беларуси, проводимых в обеих странах мероприятий по переводу национальных экономик на инновационный путь развития.</w:t>
      </w:r>
    </w:p>
    <w:p w14:paraId="48D20652" w14:textId="77777777" w:rsidR="008E337C" w:rsidRDefault="008E337C">
      <w:pPr>
        <w:pStyle w:val="newncpi"/>
      </w:pPr>
      <w:r>
        <w:rPr>
          <w:b/>
          <w:bCs/>
        </w:rPr>
        <w:t>Головные органы государственного управления</w:t>
      </w:r>
    </w:p>
    <w:p w14:paraId="3C495992" w14:textId="77777777" w:rsidR="008E337C" w:rsidRDefault="008E337C">
      <w:pPr>
        <w:pStyle w:val="newncpi"/>
      </w:pPr>
      <w:r>
        <w:t>Головными органами государственного управления по разработке и реализации Основных направлений являются Министерство образования и науки Российской Федерации и Государственный комитет по науке и технологиям Республики Беларусь.</w:t>
      </w:r>
    </w:p>
    <w:p w14:paraId="64FE1173" w14:textId="77777777" w:rsidR="008E337C" w:rsidRDefault="008E337C">
      <w:pPr>
        <w:pStyle w:val="newncpi"/>
      </w:pPr>
      <w:r>
        <w:rPr>
          <w:b/>
          <w:bCs/>
        </w:rPr>
        <w:t>Основные цели и задачи</w:t>
      </w:r>
    </w:p>
    <w:p w14:paraId="01F059B3" w14:textId="77777777" w:rsidR="008E337C" w:rsidRDefault="008E337C">
      <w:pPr>
        <w:pStyle w:val="newncpi"/>
      </w:pPr>
      <w:r>
        <w:t xml:space="preserve">Главная цель намечаемых в рамках реализации Основных направлений мероприятий – последовательное создание действенных организационных, правовых, информационных и финансово-экономических условий, необходимых для эффективного </w:t>
      </w:r>
      <w:r>
        <w:lastRenderedPageBreak/>
        <w:t>функционирования единого научно-технологического пространства Российской Федерации и Республики Беларусь в рамках Союзного государства.</w:t>
      </w:r>
    </w:p>
    <w:p w14:paraId="7CADD13C" w14:textId="77777777" w:rsidR="008E337C" w:rsidRDefault="008E337C">
      <w:pPr>
        <w:pStyle w:val="newncpi"/>
      </w:pPr>
      <w:r>
        <w:t>Исходя из этого, приоритетными задачами реализации Основных направлений являются:</w:t>
      </w:r>
    </w:p>
    <w:p w14:paraId="3340E742" w14:textId="77777777" w:rsidR="008E337C" w:rsidRDefault="008E337C">
      <w:pPr>
        <w:pStyle w:val="newncpi"/>
      </w:pPr>
      <w:r>
        <w:t>обеспечение на межгосударственном уровне координации проведения научных исследований и разработок на основе согласованной научно-технической и инновационной политики государств-участников;</w:t>
      </w:r>
    </w:p>
    <w:p w14:paraId="5BF48E24" w14:textId="77777777" w:rsidR="008E337C" w:rsidRDefault="008E337C">
      <w:pPr>
        <w:pStyle w:val="newncpi"/>
      </w:pPr>
      <w:r>
        <w:t>согласование основных принципов, единой системы ключевых индикаторов развития единого научно-технологического пространства Союзного государства, построение организационной системы функционирования научно-технологического и инновационного взаимодействия на межгосударственном уровне;</w:t>
      </w:r>
    </w:p>
    <w:p w14:paraId="4FFDD9A3" w14:textId="77777777" w:rsidR="008E337C" w:rsidRDefault="008E337C">
      <w:pPr>
        <w:pStyle w:val="newncpi"/>
      </w:pPr>
      <w:r>
        <w:t>определение форм и условий совместной деятельности инновационных структур России и Беларуси, форм и механизмов сотрудничества в области коммерциализации результатов научно-исследовательских и опытно-конструкторских работ и трансфера технологий;</w:t>
      </w:r>
    </w:p>
    <w:p w14:paraId="589324E5" w14:textId="77777777" w:rsidR="008E337C" w:rsidRDefault="008E337C">
      <w:pPr>
        <w:pStyle w:val="newncpi"/>
      </w:pPr>
      <w:r>
        <w:t>совершенствование договорно-правовой базы научно-технологического и инновационного сотрудничества в рамках Союзного государства;</w:t>
      </w:r>
    </w:p>
    <w:p w14:paraId="1FFB4780" w14:textId="77777777" w:rsidR="008E337C" w:rsidRDefault="008E337C">
      <w:pPr>
        <w:pStyle w:val="newncpi"/>
      </w:pPr>
      <w:r>
        <w:t>сравнительный анализ национального законодательства России и Беларуси в научно-технологической и инновационной сферах и подготовка предложений по его гармонизации;</w:t>
      </w:r>
    </w:p>
    <w:p w14:paraId="05F2B8F8" w14:textId="77777777" w:rsidR="008E337C" w:rsidRDefault="008E337C">
      <w:pPr>
        <w:pStyle w:val="newncpi"/>
      </w:pPr>
      <w:r>
        <w:t>формирование единой системы информационного обеспечения сектора исследований и разработок Союзного государства;</w:t>
      </w:r>
    </w:p>
    <w:p w14:paraId="4BAEAFCD" w14:textId="77777777" w:rsidR="008E337C" w:rsidRDefault="008E337C">
      <w:pPr>
        <w:pStyle w:val="newncpi"/>
      </w:pPr>
      <w:r>
        <w:t>реализация совместных научно-технологических и инновационных программ, проектов и мероприятий.</w:t>
      </w:r>
    </w:p>
    <w:p w14:paraId="079B1DAC" w14:textId="77777777" w:rsidR="008E337C" w:rsidRDefault="008E337C">
      <w:pPr>
        <w:pStyle w:val="newncpi"/>
      </w:pPr>
      <w:r>
        <w:rPr>
          <w:b/>
          <w:bCs/>
        </w:rPr>
        <w:t>Основные этапы реализации</w:t>
      </w:r>
    </w:p>
    <w:p w14:paraId="64CE0CEC" w14:textId="77777777" w:rsidR="008E337C" w:rsidRDefault="008E337C">
      <w:pPr>
        <w:pStyle w:val="newncpi"/>
      </w:pPr>
      <w:r>
        <w:t>Реализация названных задач планируется на долгосрочной основе.</w:t>
      </w:r>
    </w:p>
    <w:p w14:paraId="4FD2B7D7" w14:textId="77777777" w:rsidR="008E337C" w:rsidRDefault="008E337C">
      <w:pPr>
        <w:pStyle w:val="newncpi"/>
      </w:pPr>
      <w:r>
        <w:t>На начальном этапе (2010–2015 годы) осуществлены мероприятия, обеспечившие формирование основы единого научно-технологического пространства Союзного государства.</w:t>
      </w:r>
    </w:p>
    <w:p w14:paraId="61E3817B" w14:textId="77777777" w:rsidR="008E337C" w:rsidRDefault="008E337C">
      <w:pPr>
        <w:pStyle w:val="newncpi"/>
      </w:pPr>
      <w:r>
        <w:t>В течение 2016–2020 годов будет выстроена гибкая система определения приоритетных направлений взаимодействия национальных научно-технологических комплексов, способная оперативно учитывать их актуальные потребности и соответствующая интересам развития национальных экономик и социальной сферы.</w:t>
      </w:r>
    </w:p>
    <w:p w14:paraId="6FEB255F" w14:textId="77777777" w:rsidR="008E337C" w:rsidRDefault="008E337C">
      <w:pPr>
        <w:pStyle w:val="newncpi"/>
      </w:pPr>
      <w:r>
        <w:t>На этом этапе происходит формирование согласованной научно-технической политики Союзного государства.</w:t>
      </w:r>
    </w:p>
    <w:p w14:paraId="2B05979D" w14:textId="77777777" w:rsidR="008E337C" w:rsidRDefault="008E337C">
      <w:pPr>
        <w:pStyle w:val="newncpi"/>
      </w:pPr>
      <w:r>
        <w:rPr>
          <w:b/>
          <w:bCs/>
        </w:rPr>
        <w:t>Основными принципами данной работы являются:</w:t>
      </w:r>
    </w:p>
    <w:p w14:paraId="10961D4F" w14:textId="77777777" w:rsidR="008E337C" w:rsidRDefault="008E337C">
      <w:pPr>
        <w:pStyle w:val="point"/>
      </w:pPr>
      <w:r>
        <w:t>1. Единая система ключевых индикаторов развития единого научно-технологического пространства Союзного государства. Система ключевых индикаторов определяет количественные характеристики развития единого научно-технологического пространства Союзного государства по направлениям, характеризующим в том числе:</w:t>
      </w:r>
    </w:p>
    <w:p w14:paraId="69EF06CF" w14:textId="77777777" w:rsidR="008E337C" w:rsidRDefault="008E337C">
      <w:pPr>
        <w:pStyle w:val="newncpi"/>
      </w:pPr>
      <w:r>
        <w:t>конкурентоспособность единого научно-технологического пространства Союзного государства в мире;</w:t>
      </w:r>
    </w:p>
    <w:p w14:paraId="11E52C5D" w14:textId="77777777" w:rsidR="008E337C" w:rsidRDefault="008E337C">
      <w:pPr>
        <w:pStyle w:val="newncpi"/>
      </w:pPr>
      <w:r>
        <w:t>развитие кадрового, материально-технического и информационного обеспечения единого научно-технологического пространства.</w:t>
      </w:r>
    </w:p>
    <w:p w14:paraId="1FE39440" w14:textId="77777777" w:rsidR="008E337C" w:rsidRDefault="008E337C">
      <w:pPr>
        <w:pStyle w:val="newncpi"/>
      </w:pPr>
      <w:r>
        <w:t>Порядок формирования и корректировки системы ключевых индикаторов определяет Совет Министров Союзного государства.</w:t>
      </w:r>
    </w:p>
    <w:p w14:paraId="78BB1205" w14:textId="77777777" w:rsidR="008E337C" w:rsidRDefault="008E337C">
      <w:pPr>
        <w:pStyle w:val="point"/>
      </w:pPr>
      <w:r>
        <w:t>2. Единая система тематических приоритетов развития единого научно-технологического пространства Союзного государства, ориентированная на обеспечение инновационного развития конкурентоспособных отраслей экономики, осуществляется через выполнение научно-технологических программ Союзного государства в соответствии с Порядком разработки и реализации программ Союзного государства.</w:t>
      </w:r>
    </w:p>
    <w:p w14:paraId="3BAF418D" w14:textId="77777777" w:rsidR="008E337C" w:rsidRDefault="008E337C">
      <w:pPr>
        <w:pStyle w:val="newncpi"/>
      </w:pPr>
      <w:r>
        <w:t>Координация совместных исследований и разработок, консультации по вопросам научно-технической политики, а также формирование приоритетных направлений научно-</w:t>
      </w:r>
      <w:r>
        <w:lastRenderedPageBreak/>
        <w:t>технологического и инновационного сотрудничества в рамках Союзного государства находятся в ведении Комиссии по формированию единого научно-технологического пространства Союзного государства в соответствии с Положением о Комиссии по формированию единого научно-технологического пространства Союзного государства.</w:t>
      </w:r>
    </w:p>
    <w:p w14:paraId="4D72A240" w14:textId="77777777" w:rsidR="008E337C" w:rsidRDefault="008E337C">
      <w:pPr>
        <w:pStyle w:val="newncpi"/>
      </w:pPr>
      <w:r>
        <w:t>Основу приоритетных направлений научно-технологического и инновационного сотрудничества составят следующие направления:</w:t>
      </w:r>
    </w:p>
    <w:p w14:paraId="41C75DE5" w14:textId="77777777" w:rsidR="008E337C" w:rsidRDefault="008E337C">
      <w:pPr>
        <w:pStyle w:val="newncpi"/>
      </w:pPr>
      <w:r>
        <w:t>в области науки и техники – информационно-телекоммуникационные системы и технологии, индустрия наносистем и материалов, новые материалы, медицина и фармация, живые системы, рациональное природопользование, энергетика и энергосбережение, новые источники энергии, безопасность и противодействие терроризму;</w:t>
      </w:r>
    </w:p>
    <w:p w14:paraId="186A0292" w14:textId="77777777" w:rsidR="008E337C" w:rsidRDefault="008E337C">
      <w:pPr>
        <w:pStyle w:val="newncpi"/>
      </w:pPr>
      <w:r>
        <w:t>в области технологий – ресурсосберегающие и энергоэффективные технологии производства конкурентоспособной продукции, производство и переработка сельскохозяйственного сырья, безопасность и контроль качества сельскохозяйственного сырья и пищевых продуктов, промышленные биотехнологии.</w:t>
      </w:r>
    </w:p>
    <w:p w14:paraId="35F14F7D" w14:textId="77777777" w:rsidR="008E337C" w:rsidRDefault="008E337C">
      <w:pPr>
        <w:pStyle w:val="newncpi"/>
      </w:pPr>
      <w:r>
        <w:rPr>
          <w:b/>
          <w:bCs/>
        </w:rPr>
        <w:t>Финансирование</w:t>
      </w:r>
    </w:p>
    <w:p w14:paraId="05834DF3" w14:textId="77777777" w:rsidR="008E337C" w:rsidRDefault="008E337C">
      <w:pPr>
        <w:pStyle w:val="newncpi"/>
      </w:pPr>
      <w:r>
        <w:t>Финансирование деятельности, направленной на реализацию Основных направлений, осуществляется в пределах средств, предусмотренных федеральным бюджетом (Российская Федерация) и республиканским бюджетом (Республика Беларусь), выделяемых соответствующим ведомствам и организациям для выполнения возложенных на них функций. Выделение дополнительных средств из национальных бюджетов на указанные цели не потребуется.</w:t>
      </w:r>
    </w:p>
    <w:p w14:paraId="19520719" w14:textId="77777777" w:rsidR="008E337C" w:rsidRDefault="008E337C">
      <w:pPr>
        <w:pStyle w:val="newncpi"/>
      </w:pPr>
      <w:r>
        <w:t>Финансирование совместных программ и проектов Союзного государства за счет бюджета Союзного государства осуществляется в соответствии с нормативными правовыми актами Союзного государства.</w:t>
      </w:r>
    </w:p>
    <w:p w14:paraId="7AE6F6D0" w14:textId="77777777" w:rsidR="008E337C" w:rsidRDefault="008E337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8E337C" w14:paraId="79A830CF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77444" w14:textId="77777777" w:rsidR="008E337C" w:rsidRDefault="008E337C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3FAFF" w14:textId="77777777" w:rsidR="008E337C" w:rsidRDefault="008E337C">
            <w:pPr>
              <w:pStyle w:val="capu1"/>
            </w:pPr>
            <w:r>
              <w:t>УТВЕРЖДЕНО</w:t>
            </w:r>
          </w:p>
          <w:p w14:paraId="3AD0B525" w14:textId="77777777" w:rsidR="008E337C" w:rsidRDefault="008E337C">
            <w:pPr>
              <w:pStyle w:val="cap1"/>
            </w:pPr>
            <w:r>
              <w:t xml:space="preserve">постановлением </w:t>
            </w:r>
            <w:r>
              <w:br/>
              <w:t>Совета Министров</w:t>
            </w:r>
            <w:r>
              <w:br/>
              <w:t>Союзного государства</w:t>
            </w:r>
          </w:p>
          <w:p w14:paraId="73C2223B" w14:textId="77777777" w:rsidR="008E337C" w:rsidRDefault="008E337C">
            <w:pPr>
              <w:pStyle w:val="cap1"/>
            </w:pPr>
            <w:r>
              <w:t>от 16 июня 2017 г. № 19</w:t>
            </w:r>
          </w:p>
        </w:tc>
      </w:tr>
    </w:tbl>
    <w:p w14:paraId="44656D4F" w14:textId="77777777" w:rsidR="008E337C" w:rsidRDefault="008E337C">
      <w:pPr>
        <w:pStyle w:val="titleu"/>
        <w:jc w:val="center"/>
      </w:pPr>
      <w:r>
        <w:t>Положение</w:t>
      </w:r>
      <w:r>
        <w:br/>
        <w:t>о Комиссии по формированию единого научно-технологического пространства Союзного государства</w:t>
      </w:r>
    </w:p>
    <w:p w14:paraId="021F5023" w14:textId="77777777" w:rsidR="008E337C" w:rsidRDefault="008E337C">
      <w:pPr>
        <w:pStyle w:val="numheader"/>
      </w:pPr>
      <w:r>
        <w:t>I. Общие положения</w:t>
      </w:r>
    </w:p>
    <w:p w14:paraId="0651F96E" w14:textId="77777777" w:rsidR="008E337C" w:rsidRDefault="008E337C">
      <w:pPr>
        <w:pStyle w:val="point"/>
      </w:pPr>
      <w:r>
        <w:t>1. Комиссия по формированию единого научно-технологического пространства Союзного государства (далее – Научно-техническая комиссия) создана и функционирует с целью координации взаимодействия заинтересованных федеральных органов исполнительной власти Российской Федерации и республиканских органов государственного управления Республики Беларусь и организаций государств – участников Договора о создании Союзного государства от 8 декабря 1999 г. (далее – государства-участники), направленного на развитие научно-технического сотрудничества и обеспечение эффективного функционирования единого научно-технологического пространства Союзного государства. Научно-техническая комиссия координирует свою деятельность с Российско-Белорусской комиссией по научно-техническому сотрудничеству, созданной в соответствии с Соглашением между Правительством Российской Федерации и Правительством Республики Беларусь о научно-техническом сотрудничестве от 27 февраля 1996 года.</w:t>
      </w:r>
    </w:p>
    <w:p w14:paraId="11DA929C" w14:textId="77777777" w:rsidR="008E337C" w:rsidRDefault="008E337C">
      <w:pPr>
        <w:pStyle w:val="point"/>
      </w:pPr>
      <w:r>
        <w:t xml:space="preserve">2. Научно-техническая комиссия при осуществлении своей деятельности руководствуется положениями Договора о создании Союзного государства от 8 декабря 1999 г., нормативными правовыми актами Союзного государства, национальными </w:t>
      </w:r>
      <w:r>
        <w:lastRenderedPageBreak/>
        <w:t>нормативными правовыми актами государств-участников, настоящим Положением и Регламентом деятельности Научно-технической комиссии.</w:t>
      </w:r>
    </w:p>
    <w:p w14:paraId="09372423" w14:textId="77777777" w:rsidR="008E337C" w:rsidRDefault="008E337C">
      <w:pPr>
        <w:pStyle w:val="point"/>
      </w:pPr>
      <w:r>
        <w:t>3. Регламент деятельности Научно-технической комиссии утверждается решением Научно-технической комиссии.</w:t>
      </w:r>
    </w:p>
    <w:p w14:paraId="23720328" w14:textId="77777777" w:rsidR="008E337C" w:rsidRDefault="008E337C">
      <w:pPr>
        <w:pStyle w:val="point"/>
      </w:pPr>
      <w:r>
        <w:t>4. Работа Научно-технической комиссии осуществляется в форме заседаний, проходящих поочередно в государствах-участниках. При необходимости могут быть использованы иные формы деятельности Научно-технической комиссии, отвечающие требованиям оперативности и эффективности.</w:t>
      </w:r>
    </w:p>
    <w:p w14:paraId="67EFECB5" w14:textId="77777777" w:rsidR="008E337C" w:rsidRDefault="008E337C">
      <w:pPr>
        <w:pStyle w:val="point"/>
      </w:pPr>
      <w:r>
        <w:t>5. Основными задачами Научно-технической комиссии являются:</w:t>
      </w:r>
    </w:p>
    <w:p w14:paraId="7A58D5C5" w14:textId="77777777" w:rsidR="008E337C" w:rsidRDefault="008E337C">
      <w:pPr>
        <w:pStyle w:val="underpoint"/>
      </w:pPr>
      <w:r>
        <w:t>5.1. подготовка предложений по созданию и совершенствованию организационных, правовых, информационных условий эффективного функционирования единого научно-технологического пространства Союзного государства;</w:t>
      </w:r>
    </w:p>
    <w:p w14:paraId="3D0DF262" w14:textId="77777777" w:rsidR="008E337C" w:rsidRDefault="008E337C">
      <w:pPr>
        <w:pStyle w:val="underpoint"/>
      </w:pPr>
      <w:r>
        <w:t>5.2. разработка предложений по осуществлению согласованной научно-технической и инновационной политики государств-участников;</w:t>
      </w:r>
    </w:p>
    <w:p w14:paraId="5B187157" w14:textId="77777777" w:rsidR="008E337C" w:rsidRDefault="008E337C">
      <w:pPr>
        <w:pStyle w:val="underpoint"/>
      </w:pPr>
      <w:r>
        <w:t>5.3. подготовка предложений по созданию единой системы ключевых индикаторов развития единого научно-технологического пространства Союзного государства;</w:t>
      </w:r>
    </w:p>
    <w:p w14:paraId="53C10B58" w14:textId="77777777" w:rsidR="008E337C" w:rsidRDefault="008E337C">
      <w:pPr>
        <w:pStyle w:val="underpoint"/>
      </w:pPr>
      <w:r>
        <w:t>5.4. подготовка предложений по приоритетным направлениям научно-технического и инновационного сотрудничества в рамках Союзного государства;</w:t>
      </w:r>
    </w:p>
    <w:p w14:paraId="2FDD08A9" w14:textId="77777777" w:rsidR="008E337C" w:rsidRDefault="008E337C">
      <w:pPr>
        <w:pStyle w:val="underpoint"/>
      </w:pPr>
      <w:r>
        <w:t>5.5. содействие развитию российско-белорусских межакадемических связей, а также сотрудничеству научных, образовательных, промышленных организаций, фондов и иных субъектов научно-технической и инновационной деятельности независимо от форм собственности;</w:t>
      </w:r>
    </w:p>
    <w:p w14:paraId="4DA1FF21" w14:textId="77777777" w:rsidR="008E337C" w:rsidRDefault="008E337C">
      <w:pPr>
        <w:pStyle w:val="underpoint"/>
      </w:pPr>
      <w:r>
        <w:t>5.6. мониторинг реализации научно-технических и инновационных программ и проектов Союзного государства в интересах развития национальных экономик государств-участников;</w:t>
      </w:r>
    </w:p>
    <w:p w14:paraId="5AC5769E" w14:textId="77777777" w:rsidR="008E337C" w:rsidRDefault="008E337C">
      <w:pPr>
        <w:pStyle w:val="underpoint"/>
      </w:pPr>
      <w:r>
        <w:t>5.7. содействие информационному обмену в целях координации научной и научно-технической деятельности, проводимой в государствах-участниках;</w:t>
      </w:r>
    </w:p>
    <w:p w14:paraId="64647F3C" w14:textId="77777777" w:rsidR="008E337C" w:rsidRDefault="008E337C">
      <w:pPr>
        <w:pStyle w:val="underpoint"/>
      </w:pPr>
      <w:r>
        <w:t>5.8. содействие развитию трансфера технологий, совместной коммерциализации результатов двустороннего научно-технического и инновационного сотрудничества, в том числе программ и проектов Союзного государства, разработка предложений по использованию механизмов государственно-частного партнерства, привлечению внебюджетных источников финансирования, включая венчурные;</w:t>
      </w:r>
    </w:p>
    <w:p w14:paraId="7E7219F4" w14:textId="77777777" w:rsidR="008E337C" w:rsidRDefault="008E337C">
      <w:pPr>
        <w:pStyle w:val="underpoint"/>
      </w:pPr>
      <w:r>
        <w:t>5.9. содействие взаимодействию российских и белорусских организаций с партнерами из третьих стран и международными объединениями в интересах решения задач по формированию и функционированию единого научно-технологического пространства Союзного государства.</w:t>
      </w:r>
    </w:p>
    <w:p w14:paraId="7A5A9AD3" w14:textId="77777777" w:rsidR="008E337C" w:rsidRDefault="008E337C">
      <w:pPr>
        <w:pStyle w:val="point"/>
      </w:pPr>
      <w:r>
        <w:t>6. Ответственными за организацию решения возлагаемых на Научно-техническую комиссию задач по достижению цели, определенной пунктом 1 настоящего Положения, являются Министерство образования и науки Российской Федерации и Государственный комитет по науке и технологиям Республики Беларусь.</w:t>
      </w:r>
    </w:p>
    <w:p w14:paraId="00F29428" w14:textId="77777777" w:rsidR="008E337C" w:rsidRDefault="008E337C">
      <w:pPr>
        <w:pStyle w:val="numheader"/>
      </w:pPr>
      <w:r>
        <w:t>II. Функции Научно-технической комиссии</w:t>
      </w:r>
    </w:p>
    <w:p w14:paraId="752A6D9D" w14:textId="77777777" w:rsidR="008E337C" w:rsidRDefault="008E337C">
      <w:pPr>
        <w:pStyle w:val="point"/>
      </w:pPr>
      <w:r>
        <w:t>7. Разработка и внесение в установленном порядке в Совет Министров Союзного государства предложений по совершенствованию организации и повышению эффективности сотрудничества в рамках единого научно-технологического пространства Союзного государства.</w:t>
      </w:r>
    </w:p>
    <w:p w14:paraId="77BC0AE2" w14:textId="77777777" w:rsidR="008E337C" w:rsidRDefault="008E337C">
      <w:pPr>
        <w:pStyle w:val="point"/>
      </w:pPr>
      <w:r>
        <w:t>8. Принятие в пределах основных направлений своей деятельности рекомендаций в адрес научных, образовательных и иных организаций государств-участников по вопросам развития научно-технологического и инновационного взаимодействия в Союзном государстве.</w:t>
      </w:r>
    </w:p>
    <w:p w14:paraId="03FA663C" w14:textId="77777777" w:rsidR="008E337C" w:rsidRDefault="008E337C">
      <w:pPr>
        <w:pStyle w:val="point"/>
      </w:pPr>
      <w:r>
        <w:t>9. Проведение консультаций по вопросам государственной научно-технической политики и правового регулирования в этой сфере.</w:t>
      </w:r>
    </w:p>
    <w:p w14:paraId="3830AF17" w14:textId="77777777" w:rsidR="008E337C" w:rsidRDefault="008E337C">
      <w:pPr>
        <w:pStyle w:val="point"/>
      </w:pPr>
      <w:r>
        <w:lastRenderedPageBreak/>
        <w:t>10. Формирование приоритетных направлений научно-технического и инновационного сотрудничества государств-участников на основе предложений федеральных органов исполнительной власти Российской Федерации, республиканских органов государственного управления Республики Беларусь, национальных академий наук государств-участников, а также отраслевых подкомиссий, создаваемых в соответствии с настоящим Положением (далее – подкомиссии).</w:t>
      </w:r>
    </w:p>
    <w:p w14:paraId="3EB9CE09" w14:textId="77777777" w:rsidR="008E337C" w:rsidRDefault="008E337C">
      <w:pPr>
        <w:pStyle w:val="point"/>
      </w:pPr>
      <w:r>
        <w:t>11. Рассмотрение проблемных вопросов при формировании Примерного перечня приоритетных научно-технологических и инновационных программ и проектов Союзного государства для их дальнейшей разработки, утверждения и реализации (далее – Примерный перечень).</w:t>
      </w:r>
    </w:p>
    <w:p w14:paraId="79221073" w14:textId="77777777" w:rsidR="008E337C" w:rsidRDefault="008E337C">
      <w:pPr>
        <w:pStyle w:val="point"/>
      </w:pPr>
      <w:r>
        <w:t>12. Проведение отбора тематик на основании предложений федеральных органов исполнительной власти Российской Федерации, республиканских органов государственного управления Республики Беларусь и подкомиссий для формирования Примерного перечня.</w:t>
      </w:r>
    </w:p>
    <w:p w14:paraId="2ADDFC2C" w14:textId="77777777" w:rsidR="008E337C" w:rsidRDefault="008E337C">
      <w:pPr>
        <w:pStyle w:val="point"/>
      </w:pPr>
      <w:r>
        <w:t>13. Формирование и актуализация Примерного перечня, принимаемого к сведению Советом Министров Союзного государства.</w:t>
      </w:r>
    </w:p>
    <w:p w14:paraId="211FE925" w14:textId="77777777" w:rsidR="008E337C" w:rsidRDefault="008E337C">
      <w:pPr>
        <w:pStyle w:val="point"/>
      </w:pPr>
      <w:r>
        <w:t>14. Анализ состояния реализации научно-технологических и инновационных программ и проектов Союзного государства.</w:t>
      </w:r>
    </w:p>
    <w:p w14:paraId="603FFD04" w14:textId="77777777" w:rsidR="008E337C" w:rsidRDefault="008E337C">
      <w:pPr>
        <w:pStyle w:val="point"/>
      </w:pPr>
      <w:r>
        <w:t>15. Подготовка предложений по проведению информационных мероприятий, научно-технических выставок, конференций и симпозиумов в государствах-участниках, а также по участию российских и белорусских организаций в международных экспозициях и совещаниях научно-технического, промышленного и инновационного профиля.</w:t>
      </w:r>
    </w:p>
    <w:p w14:paraId="11DA74B9" w14:textId="77777777" w:rsidR="008E337C" w:rsidRDefault="008E337C">
      <w:pPr>
        <w:pStyle w:val="numheader"/>
      </w:pPr>
      <w:r>
        <w:t>III. Состав и организация работы Научно-технической комиссии</w:t>
      </w:r>
    </w:p>
    <w:p w14:paraId="04BC90C3" w14:textId="77777777" w:rsidR="008E337C" w:rsidRDefault="008E337C">
      <w:pPr>
        <w:pStyle w:val="point"/>
      </w:pPr>
      <w:r>
        <w:t>16. Научно-техническая комиссия состоит из российской и белорусской частей и возглавляется ее сопредседателями на уровне руководства Министерства образования и науки Российской Федерации и Государственного комитета по науке и технологиям Республики Беларусь.</w:t>
      </w:r>
    </w:p>
    <w:p w14:paraId="510A3B1E" w14:textId="77777777" w:rsidR="008E337C" w:rsidRDefault="008E337C">
      <w:pPr>
        <w:pStyle w:val="newncpi"/>
      </w:pPr>
      <w:r>
        <w:t>Российская и белорусская части Научно-технической комиссии состоят из сопредседателя, заместителя сопредседателя, ответственного секретаря и членов Научно-технической комиссии.</w:t>
      </w:r>
    </w:p>
    <w:p w14:paraId="108AC32C" w14:textId="77777777" w:rsidR="008E337C" w:rsidRDefault="008E337C">
      <w:pPr>
        <w:pStyle w:val="point"/>
      </w:pPr>
      <w:r>
        <w:t>17. Сопредседатели Научно-технической комиссии, а также составы российской и белорусской частей Научно-технической комиссии утверждаются решениями Совета Министров Союзного государства.</w:t>
      </w:r>
    </w:p>
    <w:p w14:paraId="366E1739" w14:textId="77777777" w:rsidR="008E337C" w:rsidRDefault="008E337C">
      <w:pPr>
        <w:pStyle w:val="point"/>
      </w:pPr>
      <w:r>
        <w:t>18. В целях обеспечения комплексной проработки основных вопросов развития научно-технического и инновационного сотрудничества, а также экспертного анализа научно-технологических и инновационных программ и проектов Союзного государства с учетом повестки дня заседаний в работе Научно-технической комиссии могут участвовать приглашенные эксперты.</w:t>
      </w:r>
    </w:p>
    <w:p w14:paraId="387DADF0" w14:textId="77777777" w:rsidR="008E337C" w:rsidRDefault="008E337C">
      <w:pPr>
        <w:pStyle w:val="point"/>
      </w:pPr>
      <w:r>
        <w:t>19. В состав Научно-технической комиссии входят представители Постоянного Комитета Союзного государства и Парламентского Собрания Союза Беларуси и России с правом совещательного голоса.</w:t>
      </w:r>
    </w:p>
    <w:p w14:paraId="4886ADEC" w14:textId="77777777" w:rsidR="008E337C" w:rsidRDefault="008E337C">
      <w:pPr>
        <w:pStyle w:val="point"/>
      </w:pPr>
      <w:r>
        <w:t>20. Функции секретариатов российской и белорусской частей Научно-технической комиссии возлагаются на структурные подразделения по международному сотрудничеству Министерства образования и науки Российской Федерации и Государственного комитета по науке и технологиям Республики Беларусь.</w:t>
      </w:r>
    </w:p>
    <w:p w14:paraId="71CB197D" w14:textId="77777777" w:rsidR="008E337C" w:rsidRDefault="008E337C">
      <w:pPr>
        <w:pStyle w:val="point"/>
      </w:pPr>
      <w:r>
        <w:t>21. Научно-техническая комиссия может иметь свой бланк для осуществления переписки по вопросам, относящимся к ее компетенции.</w:t>
      </w:r>
    </w:p>
    <w:p w14:paraId="179DB9B0" w14:textId="77777777" w:rsidR="008E337C" w:rsidRDefault="008E337C">
      <w:pPr>
        <w:pStyle w:val="point"/>
      </w:pPr>
      <w:r>
        <w:t>22. Научно-технической комиссией по мере необходимости создаются подкомиссии по сотрудничеству в рамках соответствующих приоритетных направлений формирования единого научно-технологического пространства Союзного государства.</w:t>
      </w:r>
    </w:p>
    <w:p w14:paraId="18E9505C" w14:textId="77777777" w:rsidR="008E337C" w:rsidRDefault="008E337C">
      <w:pPr>
        <w:pStyle w:val="point"/>
      </w:pPr>
      <w:r>
        <w:lastRenderedPageBreak/>
        <w:t>23. Подкомиссии формируются решением Научно-технической комиссии на основании предложений федеральных органов исполнительной власти Российской Федерации и республиканских органов государственного управления Республики Беларусь и состоят из российской и белорусской частей, возглавляемых на уровне представителей соответствующих федеральных органов исполнительной власти Российской Федерации и республиканских органов государственного управления Республики Беларусь. Состав и положения о подкомиссиях утверждаются решениями Научно-технической комиссии.</w:t>
      </w:r>
    </w:p>
    <w:p w14:paraId="49BC8E79" w14:textId="77777777" w:rsidR="008E337C" w:rsidRDefault="008E337C">
      <w:pPr>
        <w:pStyle w:val="point"/>
      </w:pPr>
      <w:r>
        <w:t>24. Организация работы отраслевых подкомиссий обеспечивается федеральными органами исполнительной власти Российской Федерации и республиканскими органами государственного управления Республики Беларусь, являющимися инициаторами формирования соответствующих подкомиссий.</w:t>
      </w:r>
    </w:p>
    <w:p w14:paraId="61B28282" w14:textId="77777777" w:rsidR="008E337C" w:rsidRDefault="008E337C">
      <w:pPr>
        <w:pStyle w:val="point"/>
      </w:pPr>
      <w:r>
        <w:t>25. Основными задачами подкомиссий являются:</w:t>
      </w:r>
    </w:p>
    <w:p w14:paraId="1845AB2B" w14:textId="77777777" w:rsidR="008E337C" w:rsidRDefault="008E337C">
      <w:pPr>
        <w:pStyle w:val="underpoint"/>
      </w:pPr>
      <w:r>
        <w:t>25.1. обмен информацией об основных направлениях научно-технической и инновационной деятельности в соответствующих отраслях науки и техники государств-участников;</w:t>
      </w:r>
    </w:p>
    <w:p w14:paraId="43C4405A" w14:textId="77777777" w:rsidR="008E337C" w:rsidRDefault="008E337C">
      <w:pPr>
        <w:pStyle w:val="underpoint"/>
      </w:pPr>
      <w:r>
        <w:t>25.2. подготовка предложений по приоритетным направлениям научно-технического и инновационного сотрудничества в рамках Союзного государства;</w:t>
      </w:r>
    </w:p>
    <w:p w14:paraId="5AE58B38" w14:textId="77777777" w:rsidR="008E337C" w:rsidRDefault="008E337C">
      <w:pPr>
        <w:pStyle w:val="underpoint"/>
      </w:pPr>
      <w:r>
        <w:t>25.3. подготовка предложений по координации национальных научно-технологических и инновационных разработок и организация на этой основе трансфера технологий;</w:t>
      </w:r>
    </w:p>
    <w:p w14:paraId="331ACAF8" w14:textId="77777777" w:rsidR="008E337C" w:rsidRDefault="008E337C">
      <w:pPr>
        <w:pStyle w:val="underpoint"/>
      </w:pPr>
      <w:r>
        <w:t>25.4. подготовка предложений по совершенствованию условий межотраслевого межгосударственного взаимодействия.</w:t>
      </w:r>
    </w:p>
    <w:p w14:paraId="25E96DF4" w14:textId="77777777" w:rsidR="008E337C" w:rsidRDefault="008E337C">
      <w:pPr>
        <w:pStyle w:val="numheader"/>
      </w:pPr>
      <w:r>
        <w:t>IV. Финансирование деятельности Научно-технической комиссии</w:t>
      </w:r>
    </w:p>
    <w:p w14:paraId="072BE5A9" w14:textId="77777777" w:rsidR="008E337C" w:rsidRDefault="008E337C">
      <w:pPr>
        <w:pStyle w:val="point"/>
      </w:pPr>
      <w:r>
        <w:t>26. Организационно-техническое, информационно-аналитическое и иное обеспечение работы Научно-технической комиссии осуществляется Министерством образования и науки Российской Федерации и Государственным комитетом по науке и технологиям Республики Беларусь за счет и в пределах средств национальных бюджетов, предусмотренных для выполнения возложенных на них функций в установленных сферах деятельности.</w:t>
      </w:r>
    </w:p>
    <w:p w14:paraId="3A164AD4" w14:textId="77777777" w:rsidR="008E337C" w:rsidRDefault="008E337C">
      <w:pPr>
        <w:pStyle w:val="numheader"/>
      </w:pPr>
      <w:r>
        <w:t>V. Заключительные положения</w:t>
      </w:r>
    </w:p>
    <w:p w14:paraId="044176F8" w14:textId="77777777" w:rsidR="008E337C" w:rsidRDefault="008E337C">
      <w:pPr>
        <w:pStyle w:val="point"/>
      </w:pPr>
      <w:r>
        <w:t>27. Изменения и (или) дополнения в настоящее Положение утверждаются решениями Совета Министров Союзного государства на основании предложений Научно-технической комиссии.</w:t>
      </w:r>
    </w:p>
    <w:p w14:paraId="5E7DB44D" w14:textId="77777777" w:rsidR="008E337C" w:rsidRDefault="008E337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2410"/>
      </w:tblGrid>
      <w:tr w:rsidR="008E337C" w14:paraId="4DFE793E" w14:textId="77777777"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ACE42" w14:textId="77777777" w:rsidR="008E337C" w:rsidRDefault="008E337C">
            <w:pPr>
              <w:pStyle w:val="cap1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77D1C" w14:textId="77777777" w:rsidR="008E337C" w:rsidRDefault="008E337C">
            <w:pPr>
              <w:pStyle w:val="capu1"/>
            </w:pPr>
            <w:r>
              <w:t>УТВЕРЖДЕН</w:t>
            </w:r>
          </w:p>
          <w:p w14:paraId="1A9791C9" w14:textId="77777777" w:rsidR="008E337C" w:rsidRDefault="008E337C">
            <w:pPr>
              <w:pStyle w:val="cap1"/>
            </w:pPr>
            <w:r>
              <w:t>постановлением</w:t>
            </w:r>
            <w:r>
              <w:br/>
              <w:t>Совета Министров</w:t>
            </w:r>
            <w:r>
              <w:br/>
              <w:t>Союзного государства</w:t>
            </w:r>
          </w:p>
          <w:p w14:paraId="43C0941A" w14:textId="77777777" w:rsidR="008E337C" w:rsidRDefault="008E337C">
            <w:pPr>
              <w:pStyle w:val="cap1"/>
            </w:pPr>
            <w:r>
              <w:t>от 2 февраля 2026 г. № 9</w:t>
            </w:r>
          </w:p>
        </w:tc>
      </w:tr>
    </w:tbl>
    <w:p w14:paraId="367E2A86" w14:textId="77777777" w:rsidR="008E337C" w:rsidRDefault="008E337C">
      <w:pPr>
        <w:pStyle w:val="titleu"/>
      </w:pPr>
      <w:r>
        <w:t>СОСТАВ</w:t>
      </w:r>
      <w:r>
        <w:br/>
        <w:t>Комиссии по формированию единого научно-технологического пространства Союзного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425"/>
        <w:gridCol w:w="5670"/>
      </w:tblGrid>
      <w:tr w:rsidR="008E337C" w14:paraId="597C161F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218D8" w14:textId="77777777" w:rsidR="008E337C" w:rsidRDefault="008E337C">
            <w:pPr>
              <w:pStyle w:val="spiski"/>
            </w:pPr>
            <w:proofErr w:type="spellStart"/>
            <w:r>
              <w:t>Секиринский</w:t>
            </w:r>
            <w:proofErr w:type="spellEnd"/>
            <w:r>
              <w:br/>
              <w:t>Денис Сергеевич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FD8DC" w14:textId="77777777" w:rsidR="008E337C" w:rsidRDefault="008E337C">
            <w:pPr>
              <w:pStyle w:val="spiski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F20DA" w14:textId="77777777" w:rsidR="008E337C" w:rsidRDefault="008E337C">
            <w:pPr>
              <w:pStyle w:val="spiski"/>
            </w:pPr>
            <w:r>
              <w:t>заместитель Министра науки и высшего образования Российской Федерации (сопредседатель российской части комиссии)</w:t>
            </w:r>
          </w:p>
        </w:tc>
      </w:tr>
      <w:tr w:rsidR="008E337C" w14:paraId="782DBF9D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995AE" w14:textId="77777777" w:rsidR="008E337C" w:rsidRDefault="008E337C">
            <w:pPr>
              <w:pStyle w:val="spiski"/>
              <w:spacing w:before="120"/>
            </w:pPr>
            <w:proofErr w:type="spellStart"/>
            <w:r>
              <w:lastRenderedPageBreak/>
              <w:t>Коржицкий</w:t>
            </w:r>
            <w:proofErr w:type="spellEnd"/>
            <w:r>
              <w:br/>
              <w:t>Денис Леонидович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FF5B3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1A46C" w14:textId="77777777" w:rsidR="008E337C" w:rsidRDefault="008E337C">
            <w:pPr>
              <w:pStyle w:val="spiski"/>
              <w:spacing w:before="120"/>
            </w:pPr>
            <w:r>
              <w:t>председатель Государственного комитета по науке и технологиям Республики Беларусь (сопредседатель белорусской части комиссии)</w:t>
            </w:r>
          </w:p>
        </w:tc>
      </w:tr>
      <w:tr w:rsidR="008E337C" w14:paraId="698E6F34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CD7F5" w14:textId="77777777" w:rsidR="008E337C" w:rsidRDefault="008E337C">
            <w:pPr>
              <w:pStyle w:val="spiski"/>
              <w:spacing w:before="120"/>
            </w:pPr>
            <w:proofErr w:type="spellStart"/>
            <w:r>
              <w:t>Нарайкин</w:t>
            </w:r>
            <w:proofErr w:type="spellEnd"/>
            <w:r>
              <w:br/>
              <w:t>Олег Степанович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59777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07252" w14:textId="77777777" w:rsidR="008E337C" w:rsidRDefault="008E337C">
            <w:pPr>
              <w:pStyle w:val="spiski"/>
              <w:spacing w:before="120"/>
            </w:pPr>
            <w:r>
              <w:t>вице-президент НИЦ «Курчатовский институт» (заместитель сопредседателя российской части комиссии)</w:t>
            </w:r>
          </w:p>
        </w:tc>
      </w:tr>
      <w:tr w:rsidR="008E337C" w14:paraId="423C2654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D1FAB" w14:textId="77777777" w:rsidR="008E337C" w:rsidRDefault="008E337C">
            <w:pPr>
              <w:pStyle w:val="spiski"/>
              <w:spacing w:before="120"/>
            </w:pPr>
            <w:proofErr w:type="spellStart"/>
            <w:r>
              <w:t>Кильпа</w:t>
            </w:r>
            <w:proofErr w:type="spellEnd"/>
            <w:r>
              <w:br/>
              <w:t>Мария Владимировна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4ADAC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7956C" w14:textId="77777777" w:rsidR="008E337C" w:rsidRDefault="008E337C">
            <w:pPr>
              <w:pStyle w:val="spiski"/>
              <w:spacing w:before="120"/>
            </w:pPr>
            <w:r>
              <w:t>советник Департамента международного сотрудничества Министерства науки и высшего образования Российской Федерации (ответственный секретарь российской части комиссии)</w:t>
            </w:r>
          </w:p>
        </w:tc>
      </w:tr>
      <w:tr w:rsidR="008E337C" w14:paraId="30D63CE9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7330B" w14:textId="77777777" w:rsidR="008E337C" w:rsidRDefault="008E337C">
            <w:pPr>
              <w:pStyle w:val="spiski"/>
              <w:spacing w:before="120"/>
            </w:pPr>
            <w:r>
              <w:t>Щербаков</w:t>
            </w:r>
            <w:r>
              <w:br/>
              <w:t>Сергей Сергеевич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DEE41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A3BD6" w14:textId="77777777" w:rsidR="008E337C" w:rsidRDefault="008E337C">
            <w:pPr>
              <w:pStyle w:val="spiski"/>
              <w:spacing w:before="120"/>
            </w:pPr>
            <w:r>
              <w:t>заместитель Председателя Президиума Национальной академии наук Беларуси (заместитель сопредседателя белорусской части комиссии)</w:t>
            </w:r>
          </w:p>
        </w:tc>
      </w:tr>
      <w:tr w:rsidR="008E337C" w14:paraId="12190F39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B8B04" w14:textId="77777777" w:rsidR="008E337C" w:rsidRDefault="008E337C">
            <w:pPr>
              <w:pStyle w:val="spiski"/>
              <w:spacing w:before="120"/>
            </w:pPr>
            <w:proofErr w:type="spellStart"/>
            <w:r>
              <w:t>Гусаченок</w:t>
            </w:r>
            <w:proofErr w:type="spellEnd"/>
            <w:r>
              <w:br/>
              <w:t>Алина Васильевна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0E029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45837" w14:textId="77777777" w:rsidR="008E337C" w:rsidRDefault="008E337C">
            <w:pPr>
              <w:pStyle w:val="spiski"/>
              <w:spacing w:before="120"/>
            </w:pPr>
            <w:r>
              <w:t>начальник отдела научно-технической и инновационной политики со странами Содружества Независимых Государств управления международной научно-технической и инновационной политики (ответственный секретарь белорусской части комиссии)</w:t>
            </w:r>
          </w:p>
        </w:tc>
      </w:tr>
      <w:tr w:rsidR="008E337C" w14:paraId="01AAB3A3" w14:textId="7777777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9BDFE" w14:textId="77777777" w:rsidR="008E337C" w:rsidRDefault="008E337C">
            <w:pPr>
              <w:pStyle w:val="spiski"/>
              <w:spacing w:before="120"/>
            </w:pPr>
            <w:r>
              <w:rPr>
                <w:b/>
                <w:bCs/>
              </w:rPr>
              <w:t>от Российской Федерации:</w:t>
            </w:r>
          </w:p>
        </w:tc>
      </w:tr>
      <w:tr w:rsidR="008E337C" w14:paraId="08064ECE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A1915" w14:textId="77777777" w:rsidR="008E337C" w:rsidRDefault="008E337C">
            <w:pPr>
              <w:pStyle w:val="spiski"/>
              <w:spacing w:before="120"/>
            </w:pPr>
            <w:r>
              <w:t>Шашкин</w:t>
            </w:r>
            <w:r>
              <w:br/>
              <w:t>Антон Павлович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0FC31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7D229" w14:textId="77777777" w:rsidR="008E337C" w:rsidRDefault="008E337C">
            <w:pPr>
              <w:pStyle w:val="spiski"/>
              <w:spacing w:before="120"/>
            </w:pPr>
            <w:r>
              <w:t>директор Департамента государственной политики в сфере научно-технологического развития Министерства науки и высшего образования Российской Федерации</w:t>
            </w:r>
          </w:p>
        </w:tc>
      </w:tr>
      <w:tr w:rsidR="008E337C" w14:paraId="632338CF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9FB7E" w14:textId="77777777" w:rsidR="008E337C" w:rsidRDefault="008E337C">
            <w:pPr>
              <w:pStyle w:val="spiski"/>
              <w:spacing w:before="120"/>
            </w:pPr>
            <w:proofErr w:type="spellStart"/>
            <w:r>
              <w:t>Тринченко</w:t>
            </w:r>
            <w:proofErr w:type="spellEnd"/>
            <w:r>
              <w:br/>
              <w:t>Ксения Олеговна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1F5A1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8E7D9" w14:textId="77777777" w:rsidR="008E337C" w:rsidRDefault="008E337C">
            <w:pPr>
              <w:pStyle w:val="spiski"/>
              <w:spacing w:before="120"/>
            </w:pPr>
            <w:r>
              <w:t>директор Департамента международного сотрудничества Министерства науки и высшего образования Российской Федерации</w:t>
            </w:r>
          </w:p>
        </w:tc>
      </w:tr>
      <w:tr w:rsidR="008E337C" w14:paraId="1AEA5E19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75A41" w14:textId="77777777" w:rsidR="008E337C" w:rsidRDefault="008E337C">
            <w:pPr>
              <w:pStyle w:val="spiski"/>
              <w:spacing w:before="120"/>
            </w:pPr>
            <w:proofErr w:type="spellStart"/>
            <w:r>
              <w:t>Моловцева</w:t>
            </w:r>
            <w:proofErr w:type="spellEnd"/>
            <w:r>
              <w:br/>
              <w:t>Ольга Дмитриевна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E4F86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D8E56" w14:textId="77777777" w:rsidR="008E337C" w:rsidRDefault="008E337C">
            <w:pPr>
              <w:pStyle w:val="spiski"/>
              <w:spacing w:before="120"/>
            </w:pPr>
            <w:r>
              <w:t>заместитель директора Департамента международного сотрудничества Министерства науки и высшего образования Российской Федерации</w:t>
            </w:r>
          </w:p>
        </w:tc>
      </w:tr>
      <w:tr w:rsidR="008E337C" w14:paraId="148B4116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8AB4B" w14:textId="77777777" w:rsidR="008E337C" w:rsidRDefault="008E337C">
            <w:pPr>
              <w:pStyle w:val="spiski"/>
              <w:spacing w:before="120"/>
            </w:pPr>
            <w:r>
              <w:t>Коробко</w:t>
            </w:r>
            <w:r>
              <w:br/>
              <w:t>Игорь Викторович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0174A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A50D1" w14:textId="77777777" w:rsidR="008E337C" w:rsidRDefault="008E337C">
            <w:pPr>
              <w:pStyle w:val="spiski"/>
              <w:spacing w:before="120"/>
            </w:pPr>
            <w:r>
              <w:t>директор Департамента науки и инновационного развития здравоохранения Министерства здравоохранения Российской Федерации</w:t>
            </w:r>
          </w:p>
        </w:tc>
      </w:tr>
      <w:tr w:rsidR="008E337C" w14:paraId="7C27B0E9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CB6B1" w14:textId="77777777" w:rsidR="008E337C" w:rsidRDefault="008E337C">
            <w:pPr>
              <w:pStyle w:val="spiski"/>
              <w:spacing w:before="120"/>
            </w:pPr>
            <w:r>
              <w:t>Соколов</w:t>
            </w:r>
            <w:r>
              <w:br/>
              <w:t>Владимир Владимирович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98C00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CC4D3" w14:textId="77777777" w:rsidR="008E337C" w:rsidRDefault="008E337C">
            <w:pPr>
              <w:pStyle w:val="spiski"/>
              <w:spacing w:before="120"/>
            </w:pPr>
            <w:r>
              <w:t>заместитель руководителя Федеральной службы по гидрометеорологии и мониторингу окружающей среды (Росгидромет)</w:t>
            </w:r>
          </w:p>
        </w:tc>
      </w:tr>
      <w:tr w:rsidR="008E337C" w14:paraId="0736E03B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AC7D1" w14:textId="77777777" w:rsidR="008E337C" w:rsidRDefault="008E337C">
            <w:pPr>
              <w:pStyle w:val="spiski"/>
              <w:spacing w:before="120"/>
            </w:pPr>
            <w:r>
              <w:t>Кудашкин</w:t>
            </w:r>
            <w:r>
              <w:br/>
              <w:t>Дмитрий Юрьевич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0696E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965E6" w14:textId="77777777" w:rsidR="008E337C" w:rsidRDefault="008E337C">
            <w:pPr>
              <w:pStyle w:val="spiski"/>
              <w:spacing w:before="120"/>
            </w:pPr>
            <w:r>
              <w:t>заместитель директора Департамента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8E337C" w14:paraId="4ED445E4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4E956" w14:textId="77777777" w:rsidR="008E337C" w:rsidRDefault="008E337C">
            <w:pPr>
              <w:pStyle w:val="spiski"/>
              <w:spacing w:before="120"/>
            </w:pPr>
            <w:r>
              <w:t>Макарова</w:t>
            </w:r>
            <w:r>
              <w:br/>
              <w:t>Светлана Васильевна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86108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F531C" w14:textId="77777777" w:rsidR="008E337C" w:rsidRDefault="008E337C">
            <w:pPr>
              <w:pStyle w:val="spiski"/>
              <w:spacing w:before="120"/>
            </w:pPr>
            <w:r>
              <w:t>начальник отдела развития интеграции в Союзном государстве Департамента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8E337C" w14:paraId="0C4C2A23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A2B2C" w14:textId="77777777" w:rsidR="008E337C" w:rsidRDefault="008E337C">
            <w:pPr>
              <w:pStyle w:val="spiski"/>
              <w:spacing w:before="120"/>
            </w:pPr>
            <w:proofErr w:type="spellStart"/>
            <w:r>
              <w:t>Смольянов</w:t>
            </w:r>
            <w:proofErr w:type="spellEnd"/>
            <w:r>
              <w:br/>
              <w:t>Максим Сергеевич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70DAE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485C2" w14:textId="77777777" w:rsidR="008E337C" w:rsidRDefault="008E337C">
            <w:pPr>
              <w:pStyle w:val="spiski"/>
              <w:spacing w:before="120"/>
            </w:pPr>
            <w:r>
              <w:t>референт Департамента экономики и государственной поддержки АПК Министерства сельского хозяйства Российской Федерации</w:t>
            </w:r>
          </w:p>
        </w:tc>
      </w:tr>
      <w:tr w:rsidR="008E337C" w14:paraId="2106965E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93F34" w14:textId="77777777" w:rsidR="008E337C" w:rsidRDefault="008E337C">
            <w:pPr>
              <w:pStyle w:val="spiski"/>
              <w:spacing w:before="120"/>
            </w:pPr>
            <w:proofErr w:type="spellStart"/>
            <w:r>
              <w:lastRenderedPageBreak/>
              <w:t>Строголева</w:t>
            </w:r>
            <w:proofErr w:type="spellEnd"/>
            <w:r>
              <w:br/>
              <w:t>Вероника Александровна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A9A76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48247" w14:textId="77777777" w:rsidR="008E337C" w:rsidRDefault="008E337C">
            <w:pPr>
              <w:pStyle w:val="spiski"/>
              <w:spacing w:before="120"/>
            </w:pPr>
            <w:r>
              <w:t>начальник отдела развития технологий искусственного интеллекта Департамента развития искусственного интеллекта и больших данных Министерства цифрового развития, связи и массовых коммуникаций Российской Федерации</w:t>
            </w:r>
          </w:p>
        </w:tc>
      </w:tr>
      <w:tr w:rsidR="008E337C" w14:paraId="40FCE01F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34CF2" w14:textId="77777777" w:rsidR="008E337C" w:rsidRDefault="008E337C">
            <w:pPr>
              <w:pStyle w:val="spiski"/>
              <w:spacing w:before="120"/>
            </w:pPr>
            <w:proofErr w:type="spellStart"/>
            <w:r>
              <w:t>Лакова</w:t>
            </w:r>
            <w:proofErr w:type="spellEnd"/>
            <w:r>
              <w:br/>
              <w:t>Евгения Алексеевна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BAD9E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047BC" w14:textId="77777777" w:rsidR="008E337C" w:rsidRDefault="008E337C">
            <w:pPr>
              <w:pStyle w:val="spiski"/>
              <w:spacing w:before="120"/>
            </w:pPr>
            <w:r>
              <w:t>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 w:rsidR="008E337C" w14:paraId="15B4B347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EE399" w14:textId="77777777" w:rsidR="008E337C" w:rsidRDefault="008E337C">
            <w:pPr>
              <w:pStyle w:val="spiski"/>
              <w:spacing w:before="120"/>
            </w:pPr>
            <w:r>
              <w:t>Зубов</w:t>
            </w:r>
            <w:r>
              <w:br/>
              <w:t>Юрий Сергеевич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E325B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EBBBB" w14:textId="77777777" w:rsidR="008E337C" w:rsidRDefault="008E337C">
            <w:pPr>
              <w:pStyle w:val="spiski"/>
              <w:spacing w:before="120"/>
            </w:pPr>
            <w:r>
              <w:t>руководитель Федеральной службы по интеллектуальной собственности (Роспатент)</w:t>
            </w:r>
          </w:p>
        </w:tc>
      </w:tr>
      <w:tr w:rsidR="008E337C" w14:paraId="634E07EC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E6310" w14:textId="77777777" w:rsidR="008E337C" w:rsidRDefault="008E337C">
            <w:pPr>
              <w:pStyle w:val="spiski"/>
              <w:spacing w:before="120"/>
            </w:pPr>
            <w:r>
              <w:t>Мамонтов</w:t>
            </w:r>
            <w:r>
              <w:br/>
              <w:t>Владислав Алексеевич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B4676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AFB0C" w14:textId="77777777" w:rsidR="008E337C" w:rsidRDefault="008E337C">
            <w:pPr>
              <w:pStyle w:val="spiski"/>
              <w:spacing w:before="120"/>
            </w:pPr>
            <w:r>
              <w:t>и.о. начальника Управления международного сотрудничества Федеральной службы по интеллектуальной собственности (Роспатент)</w:t>
            </w:r>
          </w:p>
        </w:tc>
      </w:tr>
      <w:tr w:rsidR="008E337C" w14:paraId="12E06F39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2DFA5" w14:textId="77777777" w:rsidR="008E337C" w:rsidRDefault="008E337C">
            <w:pPr>
              <w:pStyle w:val="spiski"/>
              <w:spacing w:before="120"/>
            </w:pPr>
            <w:r>
              <w:t>Сороко</w:t>
            </w:r>
            <w:r>
              <w:br/>
              <w:t>Андрей Викторович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AA0E5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B56DE" w14:textId="77777777" w:rsidR="008E337C" w:rsidRDefault="008E337C">
            <w:pPr>
              <w:pStyle w:val="spiski"/>
              <w:spacing w:before="120"/>
            </w:pPr>
            <w:r>
              <w:t>заместитель президента Российской академии наук</w:t>
            </w:r>
          </w:p>
        </w:tc>
      </w:tr>
      <w:tr w:rsidR="008E337C" w14:paraId="5134BE46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798D3" w14:textId="77777777" w:rsidR="008E337C" w:rsidRDefault="008E337C">
            <w:pPr>
              <w:pStyle w:val="spiski"/>
              <w:spacing w:before="120"/>
            </w:pPr>
            <w:r>
              <w:t>Варфоломеев</w:t>
            </w:r>
            <w:r>
              <w:br/>
              <w:t>Антон Александрович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EBC8D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46EA0" w14:textId="77777777" w:rsidR="008E337C" w:rsidRDefault="008E337C">
            <w:pPr>
              <w:pStyle w:val="spiski"/>
              <w:spacing w:before="120"/>
            </w:pPr>
            <w:r>
              <w:t>советник президента Российской академии наук</w:t>
            </w:r>
          </w:p>
        </w:tc>
      </w:tr>
      <w:tr w:rsidR="008E337C" w14:paraId="020F34A9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46E93" w14:textId="77777777" w:rsidR="008E337C" w:rsidRDefault="008E337C">
            <w:pPr>
              <w:pStyle w:val="spiski"/>
              <w:spacing w:before="120"/>
            </w:pPr>
            <w:r>
              <w:t>Дьякова</w:t>
            </w:r>
            <w:r>
              <w:br/>
              <w:t>Юлия Алексеевна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2F3DD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245DE" w14:textId="77777777" w:rsidR="008E337C" w:rsidRDefault="008E337C">
            <w:pPr>
              <w:pStyle w:val="spiski"/>
              <w:spacing w:before="120"/>
            </w:pPr>
            <w:r>
              <w:t>директор НИЦ «Курчатовский институт»</w:t>
            </w:r>
          </w:p>
        </w:tc>
      </w:tr>
      <w:tr w:rsidR="008E337C" w14:paraId="1DC1E382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F729" w14:textId="77777777" w:rsidR="008E337C" w:rsidRDefault="008E337C">
            <w:pPr>
              <w:pStyle w:val="spiski"/>
              <w:spacing w:before="120"/>
            </w:pPr>
            <w:r>
              <w:t>Нестерчук</w:t>
            </w:r>
            <w:r>
              <w:br/>
              <w:t>Юлия Николаевна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DA97A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B860A" w14:textId="77777777" w:rsidR="008E337C" w:rsidRDefault="008E337C">
            <w:pPr>
              <w:pStyle w:val="spiski"/>
              <w:spacing w:before="120"/>
            </w:pPr>
            <w:r>
              <w:t>заместитель директора по международному сотрудничеству НИЦ «Курчатовский институт»</w:t>
            </w:r>
          </w:p>
        </w:tc>
      </w:tr>
      <w:tr w:rsidR="008E337C" w14:paraId="1EF1345D" w14:textId="7777777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1BCB5" w14:textId="77777777" w:rsidR="008E337C" w:rsidRDefault="008E337C">
            <w:pPr>
              <w:pStyle w:val="spiski"/>
              <w:spacing w:before="120"/>
            </w:pPr>
            <w:r>
              <w:rPr>
                <w:b/>
                <w:bCs/>
              </w:rPr>
              <w:t>от Республики Беларусь:</w:t>
            </w:r>
          </w:p>
        </w:tc>
      </w:tr>
      <w:tr w:rsidR="008E337C" w14:paraId="40CCC8EC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287A3" w14:textId="77777777" w:rsidR="008E337C" w:rsidRDefault="008E337C">
            <w:pPr>
              <w:pStyle w:val="spiski"/>
              <w:spacing w:before="120"/>
            </w:pPr>
            <w:proofErr w:type="spellStart"/>
            <w:r>
              <w:t>Баханович</w:t>
            </w:r>
            <w:proofErr w:type="spellEnd"/>
            <w:r>
              <w:br/>
              <w:t>Александр Геннадьевич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A465E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A48EE" w14:textId="77777777" w:rsidR="008E337C" w:rsidRDefault="008E337C">
            <w:pPr>
              <w:pStyle w:val="spiski"/>
              <w:spacing w:before="120"/>
            </w:pPr>
            <w:r>
              <w:t>первый заместитель Министра образования Республики Беларусь</w:t>
            </w:r>
          </w:p>
        </w:tc>
      </w:tr>
      <w:tr w:rsidR="008E337C" w14:paraId="302DA3CC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4E652" w14:textId="77777777" w:rsidR="008E337C" w:rsidRDefault="008E337C">
            <w:pPr>
              <w:pStyle w:val="spiski"/>
              <w:spacing w:before="120"/>
            </w:pPr>
            <w:r>
              <w:t>Бурак</w:t>
            </w:r>
            <w:r>
              <w:br/>
              <w:t>Александр Андреевич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4906F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5D873" w14:textId="77777777" w:rsidR="008E337C" w:rsidRDefault="008E337C">
            <w:pPr>
              <w:pStyle w:val="spiski"/>
              <w:spacing w:before="120"/>
            </w:pPr>
            <w:r>
              <w:t>первый заместитель Председателя Государственного комитета по стандартизации Республики Беларусь</w:t>
            </w:r>
          </w:p>
        </w:tc>
      </w:tr>
      <w:tr w:rsidR="008E337C" w14:paraId="4984D41D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191DD" w14:textId="77777777" w:rsidR="008E337C" w:rsidRDefault="008E337C">
            <w:pPr>
              <w:pStyle w:val="spiski"/>
              <w:spacing w:before="120"/>
            </w:pPr>
            <w:r>
              <w:t>Гончаров</w:t>
            </w:r>
            <w:r>
              <w:br/>
              <w:t>Валерий Валерьевич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5B370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19599" w14:textId="77777777" w:rsidR="008E337C" w:rsidRDefault="008E337C">
            <w:pPr>
              <w:pStyle w:val="spiski"/>
              <w:spacing w:before="120"/>
            </w:pPr>
            <w:r>
              <w:t>директор ГНУ «Центр системного анализа и стратегических исследований НАН Беларуси»</w:t>
            </w:r>
          </w:p>
        </w:tc>
      </w:tr>
      <w:tr w:rsidR="008E337C" w14:paraId="7E9585F1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A4BF5" w14:textId="77777777" w:rsidR="008E337C" w:rsidRDefault="008E337C">
            <w:pPr>
              <w:pStyle w:val="spiski"/>
              <w:spacing w:before="120"/>
            </w:pPr>
            <w:proofErr w:type="spellStart"/>
            <w:r>
              <w:t>Кабишов</w:t>
            </w:r>
            <w:proofErr w:type="spellEnd"/>
            <w:r>
              <w:br/>
              <w:t>Сергей Михайлович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0AD4C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53EC3" w14:textId="77777777" w:rsidR="008E337C" w:rsidRDefault="008E337C">
            <w:pPr>
              <w:pStyle w:val="spiski"/>
              <w:spacing w:before="120"/>
            </w:pPr>
            <w:r>
              <w:t>заместитель начальника управления – начальник отдела инновационной деятельности научно-технического управления Министерства промышленности Республики Беларусь</w:t>
            </w:r>
          </w:p>
        </w:tc>
      </w:tr>
      <w:tr w:rsidR="008E337C" w14:paraId="6C91A480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07D37" w14:textId="77777777" w:rsidR="008E337C" w:rsidRDefault="008E337C">
            <w:pPr>
              <w:pStyle w:val="spiski"/>
              <w:spacing w:before="120"/>
            </w:pPr>
            <w:r>
              <w:t>Курман</w:t>
            </w:r>
            <w:r>
              <w:br/>
              <w:t>Алексей Викторович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07AD3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4D44E" w14:textId="77777777" w:rsidR="008E337C" w:rsidRDefault="008E337C">
            <w:pPr>
              <w:pStyle w:val="spiski"/>
              <w:spacing w:before="120"/>
            </w:pPr>
            <w:r>
              <w:t>генеральный директор государственного учреждения «Национальный центр интеллектуальной собственности»</w:t>
            </w:r>
          </w:p>
        </w:tc>
      </w:tr>
      <w:tr w:rsidR="008E337C" w14:paraId="104AEA7E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0BF8F" w14:textId="77777777" w:rsidR="008E337C" w:rsidRDefault="008E337C">
            <w:pPr>
              <w:pStyle w:val="spiski"/>
              <w:spacing w:before="120"/>
            </w:pPr>
            <w:proofErr w:type="spellStart"/>
            <w:r>
              <w:t>Мелешкова</w:t>
            </w:r>
            <w:proofErr w:type="spellEnd"/>
            <w:r>
              <w:br/>
              <w:t>Елена Михайловна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18A91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DD0AA" w14:textId="77777777" w:rsidR="008E337C" w:rsidRDefault="008E337C">
            <w:pPr>
              <w:pStyle w:val="spiski"/>
              <w:spacing w:before="120"/>
            </w:pPr>
            <w:r>
              <w:t>заместитель начальника управления экологической политики, науки и информации Министерства природных ресурсов и охраны окружающей среды Республики Беларусь</w:t>
            </w:r>
          </w:p>
        </w:tc>
      </w:tr>
      <w:tr w:rsidR="008E337C" w14:paraId="0878138F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2AA5C" w14:textId="77777777" w:rsidR="008E337C" w:rsidRDefault="008E337C">
            <w:pPr>
              <w:pStyle w:val="spiski"/>
              <w:spacing w:before="120"/>
            </w:pPr>
            <w:r>
              <w:t>Луговская</w:t>
            </w:r>
            <w:r>
              <w:br/>
              <w:t>Ольга Михайловна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E42F1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B083F" w14:textId="77777777" w:rsidR="008E337C" w:rsidRDefault="008E337C">
            <w:pPr>
              <w:pStyle w:val="spiski"/>
              <w:spacing w:before="120"/>
            </w:pPr>
            <w:r>
              <w:t>начальник Департамента по ядерной и радиационной безопасности Министерства по чрезвычайным ситуациям Республики Беларусь</w:t>
            </w:r>
          </w:p>
        </w:tc>
      </w:tr>
      <w:tr w:rsidR="008E337C" w14:paraId="45C0A08C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3110C" w14:textId="77777777" w:rsidR="008E337C" w:rsidRDefault="008E337C">
            <w:pPr>
              <w:pStyle w:val="spiski"/>
              <w:spacing w:before="120"/>
            </w:pPr>
            <w:proofErr w:type="spellStart"/>
            <w:r>
              <w:t>Пекутько</w:t>
            </w:r>
            <w:proofErr w:type="spellEnd"/>
            <w:r>
              <w:br/>
              <w:t>Петр Николаевич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1A067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334E3" w14:textId="77777777" w:rsidR="008E337C" w:rsidRDefault="008E337C">
            <w:pPr>
              <w:pStyle w:val="spiski"/>
              <w:spacing w:before="120"/>
            </w:pPr>
            <w:r>
              <w:t>начальник управления науки и инновационной деятельности Министерства образования Республики Беларусь</w:t>
            </w:r>
          </w:p>
        </w:tc>
      </w:tr>
      <w:tr w:rsidR="008E337C" w14:paraId="7A345956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BEF45" w14:textId="77777777" w:rsidR="008E337C" w:rsidRDefault="008E337C">
            <w:pPr>
              <w:pStyle w:val="spiski"/>
              <w:spacing w:before="120"/>
            </w:pPr>
            <w:proofErr w:type="spellStart"/>
            <w:r>
              <w:lastRenderedPageBreak/>
              <w:t>Пранник</w:t>
            </w:r>
            <w:proofErr w:type="spellEnd"/>
            <w:r>
              <w:br/>
              <w:t>Татьяна Александровна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6E21D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D4747" w14:textId="77777777" w:rsidR="008E337C" w:rsidRDefault="008E337C">
            <w:pPr>
              <w:pStyle w:val="spiski"/>
              <w:spacing w:before="120"/>
            </w:pPr>
            <w:r>
              <w:t>начальник Главного управления международного научно-технического сотрудничества аппарата НАН Беларуси</w:t>
            </w:r>
          </w:p>
        </w:tc>
      </w:tr>
      <w:tr w:rsidR="008E337C" w14:paraId="37DECE22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443AF" w14:textId="77777777" w:rsidR="008E337C" w:rsidRDefault="008E337C">
            <w:pPr>
              <w:pStyle w:val="spiski"/>
              <w:spacing w:before="120"/>
            </w:pPr>
            <w:r>
              <w:t>Самсонович</w:t>
            </w:r>
            <w:r>
              <w:br/>
              <w:t>Владимир Алексеевич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56BC3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3F3DA" w14:textId="77777777" w:rsidR="008E337C" w:rsidRDefault="008E337C">
            <w:pPr>
              <w:pStyle w:val="spiski"/>
              <w:spacing w:before="120"/>
            </w:pPr>
            <w:r>
              <w:t>начальник главного управления образования, науки и кадровой политики Министерства сельского хозяйства и продовольствия Республики Беларусь</w:t>
            </w:r>
          </w:p>
        </w:tc>
      </w:tr>
      <w:tr w:rsidR="008E337C" w14:paraId="788AEF3F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6C351" w14:textId="77777777" w:rsidR="008E337C" w:rsidRDefault="008E337C">
            <w:pPr>
              <w:pStyle w:val="spiski"/>
              <w:spacing w:before="120"/>
            </w:pPr>
            <w:r>
              <w:t>Столярова</w:t>
            </w:r>
            <w:r>
              <w:br/>
              <w:t>Татьяна Григорьевна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FF9E1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20587" w14:textId="77777777" w:rsidR="008E337C" w:rsidRDefault="008E337C">
            <w:pPr>
              <w:pStyle w:val="spiski"/>
              <w:spacing w:before="120"/>
            </w:pPr>
            <w:r>
              <w:t>заместитель Председателя Государственного комитета по науке и технологиям Республики Беларусь</w:t>
            </w:r>
          </w:p>
        </w:tc>
      </w:tr>
      <w:tr w:rsidR="008E337C" w14:paraId="74477D38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9309D" w14:textId="77777777" w:rsidR="008E337C" w:rsidRDefault="008E337C">
            <w:pPr>
              <w:pStyle w:val="spiski"/>
              <w:spacing w:before="120"/>
            </w:pPr>
            <w:proofErr w:type="spellStart"/>
            <w:r>
              <w:t>Филонюк</w:t>
            </w:r>
            <w:proofErr w:type="spellEnd"/>
            <w:r>
              <w:br/>
              <w:t>Василий Алексеевич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A99BA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8523B" w14:textId="77777777" w:rsidR="008E337C" w:rsidRDefault="008E337C">
            <w:pPr>
              <w:pStyle w:val="spiski"/>
              <w:spacing w:before="120"/>
            </w:pPr>
            <w:r>
              <w:t>начальник отдела науки Министерства здравоохранения Республики Беларусь</w:t>
            </w:r>
          </w:p>
        </w:tc>
      </w:tr>
      <w:tr w:rsidR="008E337C" w14:paraId="1961DC63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BABC" w14:textId="77777777" w:rsidR="008E337C" w:rsidRDefault="008E337C">
            <w:pPr>
              <w:pStyle w:val="spiski"/>
              <w:spacing w:before="120"/>
            </w:pPr>
            <w:proofErr w:type="spellStart"/>
            <w:r>
              <w:t>Ходоркин</w:t>
            </w:r>
            <w:proofErr w:type="spellEnd"/>
            <w:r>
              <w:br/>
              <w:t>Федор Николаевич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7C5FD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37951" w14:textId="77777777" w:rsidR="008E337C" w:rsidRDefault="008E337C">
            <w:pPr>
              <w:pStyle w:val="spiski"/>
              <w:spacing w:before="120"/>
            </w:pPr>
            <w:r>
              <w:t>начальник Главного управления научной, научно-технической и инновационно-производственной деятельности аппарата НАН Беларуси</w:t>
            </w:r>
          </w:p>
        </w:tc>
      </w:tr>
      <w:tr w:rsidR="008E337C" w14:paraId="7CCECC77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09223" w14:textId="77777777" w:rsidR="008E337C" w:rsidRDefault="008E337C">
            <w:pPr>
              <w:pStyle w:val="spiski"/>
              <w:spacing w:before="120"/>
            </w:pPr>
            <w:r>
              <w:t>Шуба</w:t>
            </w:r>
            <w:r>
              <w:br/>
              <w:t>Сергей Владимирович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33030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C9BB8" w14:textId="77777777" w:rsidR="008E337C" w:rsidRDefault="008E337C">
            <w:pPr>
              <w:pStyle w:val="spiski"/>
              <w:spacing w:before="120"/>
            </w:pPr>
            <w:r>
              <w:t>начальник управления международной научно-технической и инновационной политики Государственного комитета по науке и технологиям Республики Беларусь</w:t>
            </w:r>
          </w:p>
        </w:tc>
      </w:tr>
      <w:tr w:rsidR="008E337C" w14:paraId="264E1E52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6DD5B" w14:textId="77777777" w:rsidR="008E337C" w:rsidRDefault="008E337C">
            <w:pPr>
              <w:pStyle w:val="spiski"/>
              <w:spacing w:before="120"/>
            </w:pPr>
            <w:r>
              <w:t>Шумилин</w:t>
            </w:r>
            <w:r>
              <w:br/>
              <w:t>Александр Геннадьевич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6A3BA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41532" w14:textId="77777777" w:rsidR="008E337C" w:rsidRDefault="008E337C">
            <w:pPr>
              <w:pStyle w:val="spiski"/>
              <w:spacing w:before="120"/>
            </w:pPr>
            <w:r>
              <w:t>академик-секретарь Отделения физики, математики и информатики НАН Беларуси</w:t>
            </w:r>
          </w:p>
        </w:tc>
      </w:tr>
      <w:tr w:rsidR="008E337C" w14:paraId="4B9EA914" w14:textId="7777777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DECB5" w14:textId="77777777" w:rsidR="008E337C" w:rsidRDefault="008E337C">
            <w:pPr>
              <w:pStyle w:val="spiski"/>
              <w:spacing w:before="120"/>
            </w:pPr>
            <w:r>
              <w:rPr>
                <w:b/>
                <w:bCs/>
              </w:rPr>
              <w:t>от Постоянного Комитета Союзного государства</w:t>
            </w:r>
          </w:p>
        </w:tc>
      </w:tr>
      <w:tr w:rsidR="008E337C" w14:paraId="240A392C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94F7E" w14:textId="77777777" w:rsidR="008E337C" w:rsidRDefault="008E337C">
            <w:pPr>
              <w:pStyle w:val="spiski"/>
              <w:spacing w:before="120"/>
            </w:pPr>
            <w:r>
              <w:t>Глазьев</w:t>
            </w:r>
            <w:r>
              <w:br/>
              <w:t>Сергей Юрьевич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B457A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535B4" w14:textId="77777777" w:rsidR="008E337C" w:rsidRDefault="008E337C">
            <w:pPr>
              <w:pStyle w:val="spiski"/>
              <w:spacing w:before="120"/>
            </w:pPr>
            <w:r>
              <w:t>Государственный секретарь Союзного государства</w:t>
            </w:r>
          </w:p>
        </w:tc>
      </w:tr>
      <w:tr w:rsidR="008E337C" w14:paraId="0B5150C9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00D59" w14:textId="77777777" w:rsidR="008E337C" w:rsidRDefault="008E337C">
            <w:pPr>
              <w:pStyle w:val="spiski"/>
              <w:spacing w:before="120"/>
            </w:pPr>
            <w:r>
              <w:t>Митяев</w:t>
            </w:r>
            <w:r>
              <w:br/>
              <w:t>Дмитрий Аркадьевич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CEA4C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52CB8" w14:textId="77777777" w:rsidR="008E337C" w:rsidRDefault="008E337C">
            <w:pPr>
              <w:pStyle w:val="spiski"/>
              <w:spacing w:before="120"/>
            </w:pPr>
            <w:r>
              <w:t>советник Государственного секретаря Союзного государства</w:t>
            </w:r>
          </w:p>
        </w:tc>
      </w:tr>
      <w:tr w:rsidR="008E337C" w14:paraId="6EDBFE27" w14:textId="7777777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4DC80" w14:textId="77777777" w:rsidR="008E337C" w:rsidRDefault="008E337C">
            <w:pPr>
              <w:pStyle w:val="spiski"/>
              <w:spacing w:before="120"/>
            </w:pPr>
            <w:r>
              <w:rPr>
                <w:b/>
                <w:bCs/>
              </w:rPr>
              <w:t>от Парламентского Собрания Союза Беларуси и России</w:t>
            </w:r>
          </w:p>
        </w:tc>
      </w:tr>
      <w:tr w:rsidR="008E337C" w14:paraId="522A69F4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20E57" w14:textId="77777777" w:rsidR="008E337C" w:rsidRDefault="008E337C">
            <w:pPr>
              <w:pStyle w:val="spiski"/>
              <w:spacing w:before="120"/>
            </w:pPr>
            <w:r>
              <w:t>Тимченко</w:t>
            </w:r>
            <w:r>
              <w:br/>
              <w:t>Вячеслав Степанович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CCFEF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1E3BB" w14:textId="77777777" w:rsidR="008E337C" w:rsidRDefault="008E337C">
            <w:pPr>
              <w:pStyle w:val="spiski"/>
              <w:spacing w:before="120"/>
            </w:pPr>
            <w:r>
              <w:t>председатель Комиссии Парламентского Собрания по промышленности и торговле, председатель Комитета Совета Федерации по Регламенту и организации парламентской деятельности</w:t>
            </w:r>
          </w:p>
        </w:tc>
      </w:tr>
      <w:tr w:rsidR="008E337C" w14:paraId="2DB27F17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F9A92" w14:textId="77777777" w:rsidR="008E337C" w:rsidRDefault="008E337C">
            <w:pPr>
              <w:pStyle w:val="spiski"/>
              <w:spacing w:before="120"/>
            </w:pPr>
            <w:proofErr w:type="spellStart"/>
            <w:r>
              <w:t>Николайкин</w:t>
            </w:r>
            <w:proofErr w:type="spellEnd"/>
            <w:r>
              <w:br/>
              <w:t>Виктор Павлович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9A036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43B45" w14:textId="77777777" w:rsidR="008E337C" w:rsidRDefault="008E337C">
            <w:pPr>
              <w:pStyle w:val="spiski"/>
              <w:spacing w:before="120"/>
            </w:pPr>
            <w:r>
              <w:t>председатель Комиссии Парламентского Собрания по экономической политике, Председатель Постоянной комиссии Палаты представителей Национального собрания Республики Беларусь по экономической политике</w:t>
            </w:r>
          </w:p>
        </w:tc>
      </w:tr>
      <w:tr w:rsidR="008E337C" w14:paraId="274EB77C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25199" w14:textId="77777777" w:rsidR="008E337C" w:rsidRDefault="008E337C">
            <w:pPr>
              <w:pStyle w:val="spiski"/>
              <w:spacing w:before="120"/>
            </w:pPr>
            <w:r>
              <w:t>Германова</w:t>
            </w:r>
            <w:r>
              <w:br/>
              <w:t>Ольга Михайловна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135EB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E6252" w14:textId="77777777" w:rsidR="008E337C" w:rsidRDefault="008E337C">
            <w:pPr>
              <w:pStyle w:val="spiski"/>
              <w:spacing w:before="120"/>
            </w:pPr>
            <w:r>
              <w:t>председатель Комиссии Парламентского Собрания по науке и образованию, член Комитета Государственной Думы по культуре</w:t>
            </w:r>
          </w:p>
        </w:tc>
      </w:tr>
      <w:tr w:rsidR="008E337C" w14:paraId="6303E9E1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1E5C5" w14:textId="77777777" w:rsidR="008E337C" w:rsidRDefault="008E337C">
            <w:pPr>
              <w:pStyle w:val="spiski"/>
              <w:spacing w:before="120"/>
            </w:pPr>
            <w:r>
              <w:t>Жук</w:t>
            </w:r>
            <w:r>
              <w:br/>
              <w:t>Андрей Петрович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86240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E071E" w14:textId="77777777" w:rsidR="008E337C" w:rsidRDefault="008E337C">
            <w:pPr>
              <w:pStyle w:val="spiski"/>
              <w:spacing w:before="120"/>
            </w:pPr>
            <w:r>
              <w:t>заместитель Ответственного секретаря Парламентского Собрания</w:t>
            </w:r>
          </w:p>
        </w:tc>
      </w:tr>
      <w:tr w:rsidR="008E337C" w14:paraId="34C74342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050BB" w14:textId="77777777" w:rsidR="008E337C" w:rsidRDefault="008E337C">
            <w:pPr>
              <w:pStyle w:val="spiski"/>
              <w:spacing w:before="120"/>
            </w:pPr>
            <w:proofErr w:type="spellStart"/>
            <w:r>
              <w:t>Геленидзе</w:t>
            </w:r>
            <w:proofErr w:type="spellEnd"/>
            <w:r>
              <w:br/>
              <w:t xml:space="preserve">Зураб </w:t>
            </w:r>
            <w:proofErr w:type="spellStart"/>
            <w:r>
              <w:t>Лериевич</w:t>
            </w:r>
            <w:proofErr w:type="spellEnd"/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5D04D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506EA" w14:textId="77777777" w:rsidR="008E337C" w:rsidRDefault="008E337C">
            <w:pPr>
              <w:pStyle w:val="spiski"/>
              <w:spacing w:before="120"/>
            </w:pPr>
            <w:r>
              <w:t>начальник Главного управления по обеспечению деятельности комиссии Парламентского Собрания</w:t>
            </w:r>
          </w:p>
        </w:tc>
      </w:tr>
      <w:tr w:rsidR="008E337C" w14:paraId="5C6761E9" w14:textId="77777777">
        <w:trPr>
          <w:trHeight w:val="240"/>
        </w:trPr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C0561" w14:textId="77777777" w:rsidR="008E337C" w:rsidRDefault="008E337C">
            <w:pPr>
              <w:pStyle w:val="spiski"/>
              <w:spacing w:before="120"/>
            </w:pPr>
            <w:r>
              <w:t>Иващенко</w:t>
            </w:r>
            <w:r>
              <w:br/>
              <w:t>Ольга Георгиевна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7423D" w14:textId="77777777" w:rsidR="008E337C" w:rsidRDefault="008E337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4FC7F" w14:textId="77777777" w:rsidR="008E337C" w:rsidRDefault="008E337C">
            <w:pPr>
              <w:pStyle w:val="spiski"/>
              <w:spacing w:before="120"/>
            </w:pPr>
            <w:r>
              <w:t>заместитель начальника Главного управления по обеспечению деятельности комиссий Парламентского Собрания</w:t>
            </w:r>
          </w:p>
        </w:tc>
      </w:tr>
    </w:tbl>
    <w:p w14:paraId="05241651" w14:textId="77777777" w:rsidR="008E337C" w:rsidRDefault="008E337C">
      <w:pPr>
        <w:pStyle w:val="newncpi"/>
      </w:pPr>
      <w:r>
        <w:t> </w:t>
      </w:r>
    </w:p>
    <w:sectPr w:rsidR="008E337C" w:rsidSect="008E3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CA4A" w14:textId="77777777" w:rsidR="00E63A9B" w:rsidRDefault="00E63A9B" w:rsidP="008E337C">
      <w:pPr>
        <w:spacing w:after="0"/>
      </w:pPr>
      <w:r>
        <w:separator/>
      </w:r>
    </w:p>
  </w:endnote>
  <w:endnote w:type="continuationSeparator" w:id="0">
    <w:p w14:paraId="71C5AF0E" w14:textId="77777777" w:rsidR="00E63A9B" w:rsidRDefault="00E63A9B" w:rsidP="008E3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225B" w14:textId="77777777" w:rsidR="008E337C" w:rsidRDefault="008E337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B121" w14:textId="77777777" w:rsidR="008E337C" w:rsidRDefault="008E337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E337C" w14:paraId="2E0B84C2" w14:textId="77777777" w:rsidTr="008E337C">
      <w:tc>
        <w:tcPr>
          <w:tcW w:w="1800" w:type="dxa"/>
          <w:shd w:val="clear" w:color="auto" w:fill="auto"/>
          <w:vAlign w:val="center"/>
        </w:tcPr>
        <w:p w14:paraId="762BC2A6" w14:textId="77777777" w:rsidR="008E337C" w:rsidRDefault="008E337C">
          <w:pPr>
            <w:pStyle w:val="ae"/>
          </w:pPr>
          <w:r>
            <w:rPr>
              <w:noProof/>
            </w:rPr>
            <w:drawing>
              <wp:inline distT="0" distB="0" distL="0" distR="0" wp14:anchorId="7395B308" wp14:editId="510230E4">
                <wp:extent cx="1292352" cy="390144"/>
                <wp:effectExtent l="0" t="0" r="3175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7D76167" w14:textId="77777777" w:rsidR="008E337C" w:rsidRDefault="008E337C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29.04.2026</w:t>
          </w:r>
        </w:p>
        <w:p w14:paraId="6CC07313" w14:textId="77777777" w:rsidR="008E337C" w:rsidRPr="008E337C" w:rsidRDefault="008E337C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AF0CCD6" w14:textId="77777777" w:rsidR="008E337C" w:rsidRDefault="008E33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0A81" w14:textId="77777777" w:rsidR="00E63A9B" w:rsidRDefault="00E63A9B" w:rsidP="008E337C">
      <w:pPr>
        <w:spacing w:after="0"/>
      </w:pPr>
      <w:r>
        <w:separator/>
      </w:r>
    </w:p>
  </w:footnote>
  <w:footnote w:type="continuationSeparator" w:id="0">
    <w:p w14:paraId="57CA4379" w14:textId="77777777" w:rsidR="00E63A9B" w:rsidRDefault="00E63A9B" w:rsidP="008E33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4F3A" w14:textId="6AD44125" w:rsidR="008E337C" w:rsidRDefault="008E337C" w:rsidP="009835AE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 w:rsidR="00E57E02">
      <w:rPr>
        <w:rStyle w:val="af0"/>
      </w:rPr>
      <w:fldChar w:fldCharType="separate"/>
    </w:r>
    <w:r w:rsidR="00E57E02">
      <w:rPr>
        <w:rStyle w:val="af0"/>
        <w:noProof/>
      </w:rPr>
      <w:t>11</w:t>
    </w:r>
    <w:r>
      <w:rPr>
        <w:rStyle w:val="af0"/>
      </w:rPr>
      <w:fldChar w:fldCharType="end"/>
    </w:r>
  </w:p>
  <w:p w14:paraId="447B2BC7" w14:textId="77777777" w:rsidR="008E337C" w:rsidRDefault="008E33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1447" w14:textId="77777777" w:rsidR="008E337C" w:rsidRPr="008E337C" w:rsidRDefault="008E337C" w:rsidP="009835AE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8E337C">
      <w:rPr>
        <w:rStyle w:val="af0"/>
        <w:rFonts w:cs="Times New Roman"/>
        <w:sz w:val="24"/>
      </w:rPr>
      <w:fldChar w:fldCharType="begin"/>
    </w:r>
    <w:r w:rsidRPr="008E337C">
      <w:rPr>
        <w:rStyle w:val="af0"/>
        <w:rFonts w:cs="Times New Roman"/>
        <w:sz w:val="24"/>
      </w:rPr>
      <w:instrText xml:space="preserve"> PAGE </w:instrText>
    </w:r>
    <w:r w:rsidRPr="008E337C">
      <w:rPr>
        <w:rStyle w:val="af0"/>
        <w:rFonts w:cs="Times New Roman"/>
        <w:sz w:val="24"/>
      </w:rPr>
      <w:fldChar w:fldCharType="separate"/>
    </w:r>
    <w:r w:rsidRPr="008E337C">
      <w:rPr>
        <w:rStyle w:val="af0"/>
        <w:rFonts w:cs="Times New Roman"/>
        <w:noProof/>
        <w:sz w:val="24"/>
      </w:rPr>
      <w:t>13</w:t>
    </w:r>
    <w:r w:rsidRPr="008E337C">
      <w:rPr>
        <w:rStyle w:val="af0"/>
        <w:rFonts w:cs="Times New Roman"/>
        <w:sz w:val="24"/>
      </w:rPr>
      <w:fldChar w:fldCharType="end"/>
    </w:r>
  </w:p>
  <w:p w14:paraId="49DAA815" w14:textId="77777777" w:rsidR="008E337C" w:rsidRPr="008E337C" w:rsidRDefault="008E337C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5C23" w14:textId="77777777" w:rsidR="008E337C" w:rsidRDefault="008E337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7C"/>
    <w:rsid w:val="001565AB"/>
    <w:rsid w:val="006C0B77"/>
    <w:rsid w:val="008242FF"/>
    <w:rsid w:val="00870751"/>
    <w:rsid w:val="008E337C"/>
    <w:rsid w:val="00922C48"/>
    <w:rsid w:val="00AA5E8F"/>
    <w:rsid w:val="00B915B7"/>
    <w:rsid w:val="00E57E02"/>
    <w:rsid w:val="00E63A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A85C0"/>
  <w15:chartTrackingRefBased/>
  <w15:docId w15:val="{452C047E-A32A-41F2-8DD5-35AB29F6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3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3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3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3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3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3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3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3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3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3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3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37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337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33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33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33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33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3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3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3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33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33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337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3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337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337C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8E337C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p">
    <w:name w:val="titlep"/>
    <w:basedOn w:val="a"/>
    <w:rsid w:val="008E337C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8E337C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8E337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8E337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8E337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">
    <w:name w:val="append"/>
    <w:basedOn w:val="a"/>
    <w:rsid w:val="008E337C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spiski">
    <w:name w:val="spiski"/>
    <w:basedOn w:val="a"/>
    <w:rsid w:val="008E337C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8E337C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changeadd">
    <w:name w:val="changeadd"/>
    <w:basedOn w:val="a"/>
    <w:rsid w:val="008E337C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8E337C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8E337C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8E337C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8E337C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8E337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E337C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8E337C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8E337C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8E337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E337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E337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E337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E337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E337C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8E337C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E337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8E337C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E337C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8E337C"/>
  </w:style>
  <w:style w:type="table" w:styleId="af1">
    <w:name w:val="Table Grid"/>
    <w:basedOn w:val="a1"/>
    <w:uiPriority w:val="39"/>
    <w:rsid w:val="008E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3824</Words>
  <Characters>30631</Characters>
  <Application>Microsoft Office Word</Application>
  <DocSecurity>0</DocSecurity>
  <Lines>1225</Lines>
  <Paragraphs>400</Paragraphs>
  <ScaleCrop>false</ScaleCrop>
  <Company/>
  <LinksUpToDate>false</LinksUpToDate>
  <CharactersWithSpaces>34055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2</cp:revision>
  <dcterms:created xsi:type="dcterms:W3CDTF">2026-04-29T07:41:00Z</dcterms:created>
  <dcterms:modified xsi:type="dcterms:W3CDTF">2026-04-29T07:49:00Z</dcterms:modified>
</cp:coreProperties>
</file>